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5FD1F" w14:textId="3E2EAD7E" w:rsidR="001B2225" w:rsidRPr="00690AB7" w:rsidRDefault="00E1581B" w:rsidP="001B2225">
      <w:pPr>
        <w:pStyle w:val="Header"/>
        <w:rPr>
          <w:rFonts w:cstheme="minorHAnsi"/>
          <w:b/>
          <w:bCs/>
          <w:color w:val="C3001E"/>
          <w:sz w:val="32"/>
          <w:szCs w:val="32"/>
          <w:lang w:val="fr-FR"/>
        </w:rPr>
      </w:pPr>
      <w:r w:rsidRPr="00E1581B">
        <w:rPr>
          <w:rFonts w:cstheme="minorHAnsi"/>
          <w:b/>
          <w:bCs/>
          <w:color w:val="C3001E"/>
          <w:sz w:val="32"/>
          <w:szCs w:val="32"/>
          <w:lang w:val="fr-FR"/>
        </w:rPr>
        <w:t>ARTICLE DE PRESSE</w:t>
      </w:r>
    </w:p>
    <w:p w14:paraId="4EEC82B3" w14:textId="77777777" w:rsidR="001B2225" w:rsidRPr="0049522E" w:rsidRDefault="001B2225" w:rsidP="001B2225">
      <w:pPr>
        <w:spacing w:line="271" w:lineRule="auto"/>
        <w:rPr>
          <w:rFonts w:asciiTheme="minorHAnsi" w:hAnsiTheme="minorHAnsi" w:cstheme="minorHAnsi"/>
          <w:b/>
          <w:bCs/>
          <w:sz w:val="20"/>
          <w:szCs w:val="20"/>
          <w:lang w:val="fr-FR"/>
        </w:rPr>
      </w:pPr>
    </w:p>
    <w:p w14:paraId="625EF134" w14:textId="77777777" w:rsidR="001B2225" w:rsidRPr="0049522E" w:rsidRDefault="001B2225" w:rsidP="001B2225">
      <w:pPr>
        <w:spacing w:line="271" w:lineRule="auto"/>
        <w:rPr>
          <w:rFonts w:asciiTheme="minorHAnsi" w:hAnsiTheme="minorHAnsi" w:cstheme="minorHAnsi"/>
          <w:b/>
          <w:bCs/>
          <w:sz w:val="20"/>
          <w:szCs w:val="20"/>
          <w:lang w:val="fr-FR"/>
        </w:rPr>
      </w:pPr>
    </w:p>
    <w:p w14:paraId="2A60CC17" w14:textId="2A0F7D37" w:rsidR="001B2225" w:rsidRPr="006E0625" w:rsidRDefault="001B2225" w:rsidP="001B2225">
      <w:pPr>
        <w:spacing w:line="271" w:lineRule="auto"/>
        <w:rPr>
          <w:rFonts w:asciiTheme="minorHAnsi" w:hAnsiTheme="minorHAnsi" w:cstheme="minorHAnsi"/>
          <w:b/>
          <w:bCs/>
          <w:szCs w:val="19"/>
          <w:lang w:val="fr-FR"/>
        </w:rPr>
      </w:pPr>
      <w:r w:rsidRPr="006E0625">
        <w:rPr>
          <w:rFonts w:asciiTheme="minorHAnsi" w:hAnsiTheme="minorHAnsi" w:cstheme="minorHAnsi"/>
          <w:b/>
          <w:bCs/>
          <w:szCs w:val="19"/>
          <w:lang w:val="fr-FR"/>
        </w:rPr>
        <w:t xml:space="preserve">Mex, Suisse, </w:t>
      </w:r>
      <w:r w:rsidR="00E2330A" w:rsidRPr="006E0625">
        <w:rPr>
          <w:rFonts w:asciiTheme="minorHAnsi" w:hAnsiTheme="minorHAnsi" w:cstheme="minorHAnsi"/>
          <w:b/>
          <w:bCs/>
          <w:szCs w:val="19"/>
          <w:lang w:val="fr-FR"/>
        </w:rPr>
        <w:t>le</w:t>
      </w:r>
      <w:r w:rsidR="000200EC" w:rsidRPr="006E0625">
        <w:rPr>
          <w:rFonts w:asciiTheme="minorHAnsi" w:hAnsiTheme="minorHAnsi" w:cstheme="minorHAnsi"/>
          <w:b/>
          <w:bCs/>
          <w:szCs w:val="19"/>
          <w:lang w:val="fr-FR"/>
        </w:rPr>
        <w:t xml:space="preserve"> </w:t>
      </w:r>
      <w:r w:rsidR="00B8097D">
        <w:rPr>
          <w:rFonts w:asciiTheme="minorHAnsi" w:hAnsiTheme="minorHAnsi" w:cstheme="minorHAnsi"/>
          <w:b/>
          <w:bCs/>
          <w:szCs w:val="19"/>
          <w:lang w:val="fr-FR"/>
        </w:rPr>
        <w:t xml:space="preserve">2 mai </w:t>
      </w:r>
      <w:r w:rsidR="00606729" w:rsidRPr="006E0625">
        <w:rPr>
          <w:rFonts w:asciiTheme="minorHAnsi" w:hAnsiTheme="minorHAnsi" w:cstheme="minorHAnsi"/>
          <w:b/>
          <w:bCs/>
          <w:szCs w:val="19"/>
          <w:lang w:val="fr-FR"/>
        </w:rPr>
        <w:t>202</w:t>
      </w:r>
      <w:r w:rsidR="008A477E">
        <w:rPr>
          <w:rFonts w:asciiTheme="minorHAnsi" w:hAnsiTheme="minorHAnsi" w:cstheme="minorHAnsi"/>
          <w:b/>
          <w:bCs/>
          <w:szCs w:val="19"/>
          <w:lang w:val="fr-FR"/>
        </w:rPr>
        <w:t>4</w:t>
      </w:r>
    </w:p>
    <w:p w14:paraId="3E2E9CAE" w14:textId="77777777" w:rsidR="00606729" w:rsidRDefault="00606729" w:rsidP="001B2225">
      <w:pPr>
        <w:spacing w:line="271" w:lineRule="auto"/>
        <w:rPr>
          <w:rFonts w:asciiTheme="minorHAnsi" w:hAnsiTheme="minorHAnsi" w:cstheme="minorHAnsi"/>
          <w:b/>
          <w:bCs/>
          <w:sz w:val="20"/>
          <w:szCs w:val="20"/>
          <w:lang w:val="fr-FR"/>
        </w:rPr>
      </w:pPr>
    </w:p>
    <w:p w14:paraId="01531FDF" w14:textId="77777777" w:rsidR="00103DF2" w:rsidRDefault="00103DF2" w:rsidP="001B2225">
      <w:pPr>
        <w:spacing w:line="271" w:lineRule="auto"/>
        <w:rPr>
          <w:rFonts w:asciiTheme="minorHAnsi" w:hAnsiTheme="minorHAnsi" w:cstheme="minorHAnsi"/>
          <w:b/>
          <w:bCs/>
          <w:sz w:val="20"/>
          <w:szCs w:val="20"/>
          <w:lang w:val="fr-FR"/>
        </w:rPr>
      </w:pPr>
    </w:p>
    <w:p w14:paraId="65ED647E" w14:textId="77777777" w:rsidR="00E1581B" w:rsidRPr="00E1581B" w:rsidRDefault="00E1581B" w:rsidP="00E1581B">
      <w:pPr>
        <w:spacing w:line="240" w:lineRule="auto"/>
        <w:rPr>
          <w:rFonts w:asciiTheme="minorHAnsi" w:eastAsia="SimSun" w:hAnsiTheme="minorHAnsi" w:cstheme="minorHAnsi"/>
          <w:b/>
          <w:bCs/>
          <w:sz w:val="20"/>
          <w:szCs w:val="20"/>
          <w:lang w:val="fr-FR" w:eastAsia="zh-CN"/>
        </w:rPr>
      </w:pPr>
      <w:r w:rsidRPr="00E1581B">
        <w:rPr>
          <w:rFonts w:asciiTheme="minorHAnsi" w:eastAsia="SimSun" w:hAnsiTheme="minorHAnsi" w:cstheme="minorHAnsi"/>
          <w:b/>
          <w:bCs/>
          <w:sz w:val="20"/>
          <w:szCs w:val="20"/>
          <w:lang w:val="fr-FR" w:eastAsia="zh-CN"/>
        </w:rPr>
        <w:t>Durabilité – la « mégatendance » exigeant engagement, collaboration et innovation continue</w:t>
      </w:r>
    </w:p>
    <w:p w14:paraId="6B463EC6" w14:textId="77777777" w:rsidR="00E1581B" w:rsidRDefault="00E1581B" w:rsidP="00E1581B">
      <w:pPr>
        <w:rPr>
          <w:rFonts w:eastAsia="Arial" w:cs="Arial"/>
          <w:i/>
          <w:color w:val="585858" w:themeColor="text1"/>
          <w:sz w:val="20"/>
          <w:szCs w:val="20"/>
          <w:lang w:val="fr-FR" w:bidi="fr-FR"/>
        </w:rPr>
      </w:pPr>
    </w:p>
    <w:p w14:paraId="5F35159B" w14:textId="7778AB08" w:rsidR="00E1581B" w:rsidRPr="00C90EAA" w:rsidRDefault="00E1581B" w:rsidP="00E1581B">
      <w:pPr>
        <w:spacing w:line="240" w:lineRule="auto"/>
        <w:rPr>
          <w:rFonts w:asciiTheme="minorHAnsi" w:eastAsia="SimSun" w:hAnsiTheme="minorHAnsi" w:cstheme="minorHAnsi"/>
          <w:i/>
          <w:iCs/>
          <w:sz w:val="20"/>
          <w:szCs w:val="20"/>
          <w:lang w:val="fr-CH" w:eastAsia="zh-CN"/>
        </w:rPr>
      </w:pPr>
      <w:r w:rsidRPr="00C90EAA">
        <w:rPr>
          <w:rFonts w:asciiTheme="minorHAnsi" w:eastAsia="SimSun" w:hAnsiTheme="minorHAnsi" w:cstheme="minorHAnsi"/>
          <w:i/>
          <w:iCs/>
          <w:sz w:val="20"/>
          <w:szCs w:val="20"/>
          <w:lang w:val="fr-CH" w:eastAsia="zh-CN"/>
        </w:rPr>
        <w:t xml:space="preserve">À l’approche de la </w:t>
      </w:r>
      <w:proofErr w:type="spellStart"/>
      <w:r w:rsidRPr="00C90EAA">
        <w:rPr>
          <w:rFonts w:asciiTheme="minorHAnsi" w:eastAsia="SimSun" w:hAnsiTheme="minorHAnsi" w:cstheme="minorHAnsi"/>
          <w:i/>
          <w:iCs/>
          <w:sz w:val="20"/>
          <w:szCs w:val="20"/>
          <w:lang w:val="fr-CH" w:eastAsia="zh-CN"/>
        </w:rPr>
        <w:t>Drupa</w:t>
      </w:r>
      <w:proofErr w:type="spellEnd"/>
      <w:r w:rsidRPr="00C90EAA">
        <w:rPr>
          <w:rFonts w:asciiTheme="minorHAnsi" w:eastAsia="SimSun" w:hAnsiTheme="minorHAnsi" w:cstheme="minorHAnsi"/>
          <w:i/>
          <w:iCs/>
          <w:sz w:val="20"/>
          <w:szCs w:val="20"/>
          <w:lang w:val="fr-CH" w:eastAsia="zh-CN"/>
        </w:rPr>
        <w:t xml:space="preserve"> 2024, BOBST passe en revue certains des thèmes et sujets clés qui façonnent le secteur. Dans cet article, nous examinons la situation actuelle en matière de durabilité, ainsi que l’évolution rapide de notre propre réponse au sein de BOBST ces dernières années. </w:t>
      </w:r>
    </w:p>
    <w:p w14:paraId="26ABA898" w14:textId="77777777" w:rsidR="00E1581B" w:rsidRDefault="00E1581B" w:rsidP="00E1581B">
      <w:pPr>
        <w:rPr>
          <w:rFonts w:eastAsia="Arial" w:cs="Arial"/>
          <w:lang w:val="fr-FR" w:bidi="fr-FR"/>
        </w:rPr>
      </w:pPr>
    </w:p>
    <w:p w14:paraId="128AC15D" w14:textId="3978BF6E" w:rsidR="00E1581B" w:rsidRDefault="00E1581B" w:rsidP="00E1581B">
      <w:pPr>
        <w:spacing w:line="240" w:lineRule="auto"/>
        <w:rPr>
          <w:rFonts w:eastAsia="Arial" w:cs="Arial"/>
          <w:sz w:val="20"/>
          <w:szCs w:val="20"/>
          <w:lang w:val="fr-FR" w:bidi="fr-FR"/>
        </w:rPr>
      </w:pPr>
      <w:r w:rsidRPr="00E1581B">
        <w:rPr>
          <w:rFonts w:eastAsia="Arial" w:cs="Arial"/>
          <w:sz w:val="20"/>
          <w:szCs w:val="20"/>
          <w:lang w:val="fr-FR" w:bidi="fr-FR"/>
        </w:rPr>
        <w:t>La durabilité est au centre des préoccupations de l’industrie de l’emballage depuis de nombreuses années, mais nous arrivons peut-être à une période cruciale pour ce sujet.</w:t>
      </w:r>
    </w:p>
    <w:p w14:paraId="15BB1CB7" w14:textId="77777777" w:rsidR="00E1581B" w:rsidRPr="00E1581B" w:rsidRDefault="00E1581B" w:rsidP="00E1581B">
      <w:pPr>
        <w:spacing w:line="240" w:lineRule="auto"/>
        <w:rPr>
          <w:rFonts w:cs="Arial"/>
          <w:sz w:val="20"/>
          <w:szCs w:val="20"/>
          <w:lang w:val="fr-FR"/>
        </w:rPr>
      </w:pPr>
    </w:p>
    <w:p w14:paraId="7028CF65" w14:textId="18C2A8DD" w:rsidR="00E1581B" w:rsidRPr="00C90EAA" w:rsidRDefault="00E1581B" w:rsidP="00E1581B">
      <w:pPr>
        <w:spacing w:line="240" w:lineRule="auto"/>
        <w:rPr>
          <w:rFonts w:cs="Arial"/>
          <w:color w:val="2C2C2C" w:themeColor="text1" w:themeShade="80"/>
          <w:sz w:val="20"/>
          <w:szCs w:val="20"/>
          <w:lang w:val="fr-FR"/>
        </w:rPr>
      </w:pPr>
      <w:r w:rsidRPr="00E1581B">
        <w:rPr>
          <w:rFonts w:eastAsia="Arial" w:cs="Arial"/>
          <w:sz w:val="20"/>
          <w:szCs w:val="20"/>
          <w:lang w:val="fr-FR" w:bidi="fr-FR"/>
        </w:rPr>
        <w:t xml:space="preserve">Un an nous sépare </w:t>
      </w:r>
      <w:r w:rsidRPr="00C90EAA">
        <w:rPr>
          <w:rFonts w:eastAsia="Arial" w:cs="Arial"/>
          <w:color w:val="2C2C2C" w:themeColor="text1" w:themeShade="80"/>
          <w:sz w:val="20"/>
          <w:szCs w:val="20"/>
          <w:lang w:val="fr-FR" w:bidi="fr-FR"/>
        </w:rPr>
        <w:t>de 2025, année cible pour les nombreux objectifs de durabilité auxquels des centaines de corporations et d’entreprises se sont engagées. Cela inclut notamment l'</w:t>
      </w:r>
      <w:hyperlink r:id="rId8" w:history="1">
        <w:r w:rsidRPr="00C90EAA">
          <w:rPr>
            <w:rStyle w:val="Hyperlink"/>
            <w:rFonts w:eastAsia="Arial" w:cs="Arial"/>
            <w:color w:val="2C2C2C" w:themeColor="text1" w:themeShade="80"/>
            <w:sz w:val="20"/>
            <w:szCs w:val="20"/>
            <w:u w:val="none"/>
            <w:lang w:val="fr-FR" w:bidi="fr-FR"/>
          </w:rPr>
          <w:t>Engagement mondial</w:t>
        </w:r>
      </w:hyperlink>
      <w:r w:rsidRPr="00C90EAA">
        <w:rPr>
          <w:rFonts w:eastAsia="Arial" w:cs="Arial"/>
          <w:color w:val="2C2C2C" w:themeColor="text1" w:themeShade="80"/>
          <w:sz w:val="20"/>
          <w:szCs w:val="20"/>
          <w:lang w:val="fr-FR" w:bidi="fr-FR"/>
        </w:rPr>
        <w:t>, dirigé par la Fondation Ellen MacArthur, en collaboration avec le Programme des Nations Unies pour l'environnement, qui a réuni plus de 500 organisations derrière une vision commune d'une économie circulaire pour les plastiques. Même si des progrès fantastiques ont été réalisés – une évaluation récente a conclu que les entreprises ayant signé cet engagement avaient largement surpassé leurs homologues dans la lutte contre les déchets plastiques</w:t>
      </w:r>
      <w:r w:rsidRPr="00C90EAA">
        <w:rPr>
          <w:rStyle w:val="FootnoteReference"/>
          <w:rFonts w:eastAsia="Arial" w:cs="Arial"/>
          <w:color w:val="2C2C2C" w:themeColor="text1" w:themeShade="80"/>
          <w:sz w:val="20"/>
          <w:szCs w:val="20"/>
          <w:lang w:val="fr-FR" w:bidi="fr-FR"/>
        </w:rPr>
        <w:footnoteReference w:id="1"/>
      </w:r>
      <w:r w:rsidRPr="00C90EAA">
        <w:rPr>
          <w:rFonts w:eastAsia="Arial" w:cs="Arial"/>
          <w:color w:val="2C2C2C" w:themeColor="text1" w:themeShade="80"/>
          <w:sz w:val="20"/>
          <w:szCs w:val="20"/>
          <w:lang w:val="fr-FR" w:bidi="fr-FR"/>
        </w:rPr>
        <w:t xml:space="preserve"> – bon nombre de ces objectifs ambitieux pour 2025 seront néanmoins repoussés. </w:t>
      </w:r>
    </w:p>
    <w:p w14:paraId="07B12820" w14:textId="77777777" w:rsidR="00E1581B" w:rsidRPr="00C90EAA" w:rsidRDefault="00E1581B" w:rsidP="00E1581B">
      <w:pPr>
        <w:spacing w:line="240" w:lineRule="auto"/>
        <w:rPr>
          <w:rFonts w:eastAsia="Arial" w:cs="Arial"/>
          <w:color w:val="2C2C2C" w:themeColor="text1" w:themeShade="80"/>
          <w:sz w:val="20"/>
          <w:szCs w:val="20"/>
          <w:lang w:val="fr-FR" w:bidi="fr-FR"/>
        </w:rPr>
      </w:pPr>
    </w:p>
    <w:p w14:paraId="17179F85" w14:textId="07021AC2" w:rsidR="00E1581B" w:rsidRPr="00C90EAA" w:rsidRDefault="00C90EAA" w:rsidP="00C90EAA">
      <w:pPr>
        <w:spacing w:after="160" w:line="259" w:lineRule="auto"/>
        <w:rPr>
          <w:rFonts w:asciiTheme="minorHAnsi" w:eastAsia="Aptos" w:hAnsiTheme="minorHAnsi" w:cstheme="minorHAnsi"/>
          <w:kern w:val="2"/>
          <w:sz w:val="20"/>
          <w:szCs w:val="20"/>
          <w:lang w:val="fr-FR"/>
          <w14:ligatures w14:val="standardContextual"/>
        </w:rPr>
      </w:pPr>
      <w:r w:rsidRPr="00C90EAA">
        <w:rPr>
          <w:rFonts w:asciiTheme="minorHAnsi" w:eastAsia="Arial" w:hAnsiTheme="minorHAnsi" w:cstheme="minorHAnsi"/>
          <w:color w:val="2C2C2C" w:themeColor="text1" w:themeShade="80"/>
          <w:kern w:val="2"/>
          <w:sz w:val="20"/>
          <w:szCs w:val="20"/>
          <w:lang w:val="fr-FR" w:bidi="fr-FR"/>
          <w14:ligatures w14:val="standardContextual"/>
        </w:rPr>
        <w:t xml:space="preserve">Le 24 avril, le Parlement européen a adopté sa position sur le </w:t>
      </w:r>
      <w:hyperlink r:id="rId9" w:history="1">
        <w:r w:rsidRPr="00C90EAA">
          <w:rPr>
            <w:rFonts w:asciiTheme="minorHAnsi" w:eastAsia="Arial" w:hAnsiTheme="minorHAnsi" w:cstheme="minorHAnsi"/>
            <w:color w:val="2C2C2C" w:themeColor="text1" w:themeShade="80"/>
            <w:kern w:val="2"/>
            <w:sz w:val="20"/>
            <w:szCs w:val="20"/>
            <w:lang w:val="fr-FR" w:bidi="fr-FR"/>
            <w14:ligatures w14:val="standardContextual"/>
          </w:rPr>
          <w:t>règlement sur les emballages et les déchets d'emballages (PPWR</w:t>
        </w:r>
      </w:hyperlink>
      <w:hyperlink r:id="rId10" w:history="1">
        <w:r w:rsidRPr="00C90EAA">
          <w:rPr>
            <w:rFonts w:asciiTheme="minorHAnsi" w:eastAsia="Arial" w:hAnsiTheme="minorHAnsi" w:cstheme="minorHAnsi"/>
            <w:color w:val="2C2C2C" w:themeColor="text1" w:themeShade="80"/>
            <w:kern w:val="2"/>
            <w:sz w:val="20"/>
            <w:szCs w:val="20"/>
            <w:lang w:val="fr-FR" w:bidi="fr-FR"/>
            <w14:ligatures w14:val="standardContextual"/>
          </w:rPr>
          <w:t>)</w:t>
        </w:r>
      </w:hyperlink>
      <w:r w:rsidRPr="00C90EAA">
        <w:rPr>
          <w:rFonts w:asciiTheme="minorHAnsi" w:eastAsia="Arial" w:hAnsiTheme="minorHAnsi" w:cstheme="minorHAnsi"/>
          <w:color w:val="2C2C2C" w:themeColor="text1" w:themeShade="80"/>
          <w:kern w:val="2"/>
          <w:sz w:val="20"/>
          <w:szCs w:val="20"/>
          <w:lang w:val="fr-FR" w:bidi="fr-FR"/>
          <w14:ligatures w14:val="standardContextual"/>
        </w:rPr>
        <w:t xml:space="preserve">, qui comprend </w:t>
      </w:r>
      <w:r w:rsidRPr="00C90EAA">
        <w:rPr>
          <w:rFonts w:asciiTheme="minorHAnsi" w:eastAsia="Arial" w:hAnsiTheme="minorHAnsi" w:cstheme="minorHAnsi"/>
          <w:kern w:val="2"/>
          <w:sz w:val="20"/>
          <w:szCs w:val="20"/>
          <w:lang w:val="fr-FR" w:bidi="fr-FR"/>
          <w14:ligatures w14:val="standardContextual"/>
        </w:rPr>
        <w:t>des objectifs de réduction des emballages, des restrictions sur certains types d'emballages à usage unique, des objectifs de réutilisation, etc. Le PPWR, désormais au stade d’examen de conformité légale et de validation finale, réitère également que tous les emballages mis sur le marché de l'UE devaient être recyclables.</w:t>
      </w:r>
    </w:p>
    <w:p w14:paraId="40518665" w14:textId="70520F08" w:rsidR="00E1581B" w:rsidRPr="00E1581B" w:rsidRDefault="00E1581B" w:rsidP="00E1581B">
      <w:pPr>
        <w:spacing w:line="240" w:lineRule="auto"/>
        <w:rPr>
          <w:rFonts w:cs="Arial"/>
          <w:sz w:val="20"/>
          <w:szCs w:val="20"/>
          <w:lang w:val="fr-FR"/>
        </w:rPr>
      </w:pPr>
      <w:r w:rsidRPr="00E1581B">
        <w:rPr>
          <w:rFonts w:eastAsia="Arial" w:cs="Arial"/>
          <w:sz w:val="20"/>
          <w:szCs w:val="20"/>
          <w:lang w:val="fr-FR" w:bidi="fr-FR"/>
        </w:rPr>
        <w:t>La drupa 2024 a fait de la durabilité l’une de ses deux « mégatendances », aux côtés de la numérisation. Selon la Drupa, ces deux mégatendances vont de pair car, « l’Industrie 4.0 est la clé d’une production globalement durable dans l’industrie de l’impression et de l’emballage ».</w:t>
      </w:r>
    </w:p>
    <w:p w14:paraId="7FBB1E59" w14:textId="77777777" w:rsidR="00E1581B" w:rsidRDefault="00E1581B" w:rsidP="00E1581B">
      <w:pPr>
        <w:spacing w:line="240" w:lineRule="auto"/>
        <w:rPr>
          <w:rFonts w:eastAsia="Arial" w:cs="Arial"/>
          <w:sz w:val="20"/>
          <w:szCs w:val="20"/>
          <w:lang w:val="fr-FR" w:bidi="fr-FR"/>
        </w:rPr>
      </w:pPr>
    </w:p>
    <w:p w14:paraId="129D9DDF" w14:textId="004F5D4E" w:rsidR="00E1581B" w:rsidRPr="00E1581B" w:rsidRDefault="00E1581B" w:rsidP="00E1581B">
      <w:pPr>
        <w:spacing w:line="240" w:lineRule="auto"/>
        <w:rPr>
          <w:rFonts w:cs="Arial"/>
          <w:sz w:val="20"/>
          <w:szCs w:val="20"/>
          <w:lang w:val="fr-FR"/>
        </w:rPr>
      </w:pPr>
      <w:r w:rsidRPr="00E1581B">
        <w:rPr>
          <w:rFonts w:eastAsia="Arial" w:cs="Arial"/>
          <w:sz w:val="20"/>
          <w:szCs w:val="20"/>
          <w:lang w:val="fr-FR" w:bidi="fr-FR"/>
        </w:rPr>
        <w:t>Chez BOBST, nous sommes tout à fait d’accord. Les quatre piliers de notre vision industrielle – numérisation, automatisation, connectivité et durabilité – incluent les deux mégatendances et sont en effet tous mutuellement favorables et, ensemble, permettent de grands progrès dans notre industrie.</w:t>
      </w:r>
    </w:p>
    <w:p w14:paraId="2BFA85C0" w14:textId="77777777" w:rsidR="00E1581B" w:rsidRDefault="00E1581B" w:rsidP="00E1581B">
      <w:pPr>
        <w:spacing w:line="240" w:lineRule="auto"/>
        <w:rPr>
          <w:rFonts w:eastAsia="Arial" w:cs="Arial"/>
          <w:sz w:val="20"/>
          <w:szCs w:val="20"/>
          <w:lang w:val="fr-FR" w:bidi="fr-FR"/>
        </w:rPr>
      </w:pPr>
    </w:p>
    <w:p w14:paraId="43BE2AEF" w14:textId="48883232" w:rsidR="00E1581B" w:rsidRPr="00E1581B" w:rsidRDefault="00E1581B" w:rsidP="00E1581B">
      <w:pPr>
        <w:spacing w:line="240" w:lineRule="auto"/>
        <w:rPr>
          <w:rFonts w:cs="Arial"/>
          <w:sz w:val="20"/>
          <w:szCs w:val="20"/>
          <w:lang w:val="fr-FR"/>
        </w:rPr>
      </w:pPr>
      <w:r w:rsidRPr="00E1581B">
        <w:rPr>
          <w:rFonts w:eastAsia="Arial" w:cs="Arial"/>
          <w:sz w:val="20"/>
          <w:szCs w:val="20"/>
          <w:lang w:val="fr-FR" w:bidi="fr-FR"/>
        </w:rPr>
        <w:t xml:space="preserve">La durabilité est un sujet vaste et aux multiples facettes, pour lequel il n’existe pas de solutions faciles. Chaque entreprise – indépendamment ou en équipe avec des fournisseurs, des clients ou des homologues – doit identifier les domaines dans lesquels elle peut réaliser les plus grands progrès. </w:t>
      </w:r>
    </w:p>
    <w:p w14:paraId="5CFF0B31" w14:textId="77777777" w:rsidR="00E1581B" w:rsidRDefault="00E1581B" w:rsidP="00E1581B">
      <w:pPr>
        <w:spacing w:line="240" w:lineRule="auto"/>
        <w:rPr>
          <w:rFonts w:eastAsia="Arial" w:cs="Arial"/>
          <w:sz w:val="20"/>
          <w:szCs w:val="20"/>
          <w:lang w:val="fr-FR" w:bidi="fr-FR"/>
        </w:rPr>
      </w:pPr>
    </w:p>
    <w:p w14:paraId="7181F221" w14:textId="44E9EB92" w:rsidR="00E1581B" w:rsidRPr="00E1581B" w:rsidRDefault="00E1581B" w:rsidP="00E1581B">
      <w:pPr>
        <w:spacing w:line="240" w:lineRule="auto"/>
        <w:rPr>
          <w:rFonts w:cs="Arial"/>
          <w:sz w:val="20"/>
          <w:szCs w:val="20"/>
          <w:lang w:val="fr-FR"/>
        </w:rPr>
      </w:pPr>
      <w:r w:rsidRPr="00E1581B">
        <w:rPr>
          <w:rFonts w:eastAsia="Arial" w:cs="Arial"/>
          <w:sz w:val="20"/>
          <w:szCs w:val="20"/>
          <w:lang w:val="fr-FR" w:bidi="fr-FR"/>
        </w:rPr>
        <w:t>En tant que leader de l’industrie de l’emballage, nous savons que nous avons la responsabilité non seulement de nous engager en faveur de la durabilité, mais aussi de véritablement innover dans ce domaine. Nous sommes convaincus d’y parvenir à travers trois volets définis : nos opérations, nos équipements, ainsi que l'utilisation et la fin de vie des emballages. Les innovations dans ces domaines permettront de changer la façon dont les emballages sont produits pour contribuer à garantir la réduction des déchets, l’augmentation de l’efficacité, la conformité aux toutes dernières réglementations et le développement de solutions d’emballage améliorées sur le plan environnemental.</w:t>
      </w:r>
    </w:p>
    <w:p w14:paraId="7630E8F6" w14:textId="77777777" w:rsidR="00E1581B" w:rsidRDefault="00E1581B" w:rsidP="00E1581B">
      <w:pPr>
        <w:spacing w:line="240" w:lineRule="auto"/>
        <w:rPr>
          <w:rFonts w:eastAsia="Arial" w:cs="Arial"/>
          <w:sz w:val="20"/>
          <w:szCs w:val="20"/>
          <w:lang w:val="fr-FR" w:bidi="fr-FR"/>
        </w:rPr>
      </w:pPr>
    </w:p>
    <w:p w14:paraId="2132DDFE" w14:textId="3F5D37C2" w:rsidR="00E1581B" w:rsidRDefault="00E1581B" w:rsidP="00E1581B">
      <w:pPr>
        <w:spacing w:line="240" w:lineRule="auto"/>
        <w:rPr>
          <w:rFonts w:eastAsia="Arial" w:cs="Arial"/>
          <w:sz w:val="20"/>
          <w:szCs w:val="20"/>
          <w:lang w:val="fr-FR" w:bidi="fr-FR"/>
        </w:rPr>
      </w:pPr>
      <w:r w:rsidRPr="00E1581B">
        <w:rPr>
          <w:rFonts w:eastAsia="Arial" w:cs="Arial"/>
          <w:sz w:val="20"/>
          <w:szCs w:val="20"/>
          <w:lang w:val="fr-FR" w:bidi="fr-FR"/>
        </w:rPr>
        <w:lastRenderedPageBreak/>
        <w:t>Nous avons rejoint la Science-Based Targets initiative (SBTi) en 2022, réaffirmant ainsi notre engagement en faveur d’une action urgente pour le climat. Nous avons clairement formalisé les objectifs et les options de décarbonation de l’entreprise, non seulement pour nos activités opérationnelles, mais aussi pour notre impact en amont et en aval, afin de réduire notre empreinte carbone. Nos objectifs SBTi ont été jugés en ligne avec l’ambition de limiter le réchauffement climatique à +1.5° comme demandé par les accords de Paris et officiellement validés.</w:t>
      </w:r>
    </w:p>
    <w:p w14:paraId="32885753" w14:textId="77777777" w:rsidR="00E1581B" w:rsidRPr="00E1581B" w:rsidRDefault="00E1581B" w:rsidP="00E1581B">
      <w:pPr>
        <w:spacing w:line="240" w:lineRule="auto"/>
        <w:rPr>
          <w:rFonts w:cs="Arial"/>
          <w:sz w:val="20"/>
          <w:szCs w:val="20"/>
          <w:lang w:val="fr-FR"/>
        </w:rPr>
      </w:pPr>
    </w:p>
    <w:p w14:paraId="377B1272" w14:textId="77777777" w:rsidR="00E1581B" w:rsidRPr="00E1581B" w:rsidRDefault="00E1581B" w:rsidP="00E1581B">
      <w:pPr>
        <w:spacing w:line="240" w:lineRule="auto"/>
        <w:rPr>
          <w:rFonts w:cs="Arial"/>
          <w:b/>
          <w:bCs/>
          <w:sz w:val="20"/>
          <w:szCs w:val="20"/>
          <w:lang w:val="fr-FR"/>
        </w:rPr>
      </w:pPr>
      <w:r w:rsidRPr="00E1581B">
        <w:rPr>
          <w:rFonts w:eastAsia="Arial" w:cs="Arial"/>
          <w:b/>
          <w:sz w:val="20"/>
          <w:szCs w:val="20"/>
          <w:lang w:val="fr-FR" w:bidi="fr-FR"/>
        </w:rPr>
        <w:t xml:space="preserve">Optimisation des opérations </w:t>
      </w:r>
    </w:p>
    <w:p w14:paraId="617D1210" w14:textId="77777777" w:rsidR="00E1581B" w:rsidRDefault="00E1581B" w:rsidP="00E1581B">
      <w:pPr>
        <w:spacing w:line="240" w:lineRule="auto"/>
        <w:rPr>
          <w:rFonts w:eastAsia="Arial" w:cs="Arial"/>
          <w:sz w:val="20"/>
          <w:szCs w:val="20"/>
          <w:lang w:val="fr-FR" w:bidi="fr-FR"/>
        </w:rPr>
      </w:pPr>
    </w:p>
    <w:p w14:paraId="077F6999" w14:textId="4D661D41" w:rsidR="00E1581B" w:rsidRPr="00E1581B" w:rsidRDefault="00E1581B" w:rsidP="00E1581B">
      <w:pPr>
        <w:spacing w:line="240" w:lineRule="auto"/>
        <w:rPr>
          <w:rFonts w:cs="Arial"/>
          <w:sz w:val="20"/>
          <w:szCs w:val="20"/>
          <w:lang w:val="fr-FR"/>
        </w:rPr>
      </w:pPr>
      <w:r w:rsidRPr="00E1581B">
        <w:rPr>
          <w:rFonts w:eastAsia="Arial" w:cs="Arial"/>
          <w:sz w:val="20"/>
          <w:szCs w:val="20"/>
          <w:lang w:val="fr-FR" w:bidi="fr-FR"/>
        </w:rPr>
        <w:t xml:space="preserve">Bien entendu, ce sont les entreprises qui contrôlent le plus directement leurs propres opérations, et cela a été un domaine d’intérêt majeur pour BOBST ces dernières années. </w:t>
      </w:r>
    </w:p>
    <w:p w14:paraId="07C540F3" w14:textId="77777777" w:rsidR="00E1581B" w:rsidRDefault="00E1581B" w:rsidP="00E1581B">
      <w:pPr>
        <w:spacing w:line="240" w:lineRule="auto"/>
        <w:rPr>
          <w:rFonts w:eastAsia="Arial" w:cs="Arial"/>
          <w:sz w:val="20"/>
          <w:szCs w:val="20"/>
          <w:lang w:val="fr-FR" w:bidi="fr-FR"/>
        </w:rPr>
      </w:pPr>
    </w:p>
    <w:p w14:paraId="3E02BF51" w14:textId="162AECA5" w:rsidR="00E1581B" w:rsidRPr="00E1581B" w:rsidRDefault="00E1581B" w:rsidP="00E1581B">
      <w:pPr>
        <w:spacing w:line="240" w:lineRule="auto"/>
        <w:rPr>
          <w:rFonts w:cs="Arial"/>
          <w:sz w:val="20"/>
          <w:szCs w:val="20"/>
          <w:lang w:val="fr-FR"/>
        </w:rPr>
      </w:pPr>
      <w:r w:rsidRPr="00E1581B">
        <w:rPr>
          <w:rFonts w:eastAsia="Arial" w:cs="Arial"/>
          <w:sz w:val="20"/>
          <w:szCs w:val="20"/>
          <w:lang w:val="fr-FR" w:bidi="fr-FR"/>
        </w:rPr>
        <w:t>Nos objectifs dans ce secteur sont ambitieux, notamment une réduction de 42 % des émissions de carbone de nos propres opérations d'ici à 2030, mais cela reflète la vitesse à laquelle le monde doit se décarboner. Nous n’avons pas de temps à perdre.</w:t>
      </w:r>
    </w:p>
    <w:p w14:paraId="3F68F28E" w14:textId="77777777" w:rsidR="00E1581B" w:rsidRDefault="00E1581B" w:rsidP="00E1581B">
      <w:pPr>
        <w:spacing w:line="240" w:lineRule="auto"/>
        <w:rPr>
          <w:rFonts w:eastAsia="Arial" w:cs="Arial"/>
          <w:sz w:val="20"/>
          <w:szCs w:val="20"/>
          <w:lang w:val="fr-FR" w:bidi="fr-FR"/>
        </w:rPr>
      </w:pPr>
    </w:p>
    <w:p w14:paraId="0A724AC4" w14:textId="355956F0" w:rsidR="00E1581B" w:rsidRPr="00E1581B" w:rsidRDefault="00E1581B" w:rsidP="00E1581B">
      <w:pPr>
        <w:spacing w:line="240" w:lineRule="auto"/>
        <w:rPr>
          <w:rFonts w:cs="Arial"/>
          <w:sz w:val="20"/>
          <w:szCs w:val="20"/>
          <w:lang w:val="fr-FR"/>
        </w:rPr>
      </w:pPr>
      <w:r w:rsidRPr="00E1581B">
        <w:rPr>
          <w:rFonts w:eastAsia="Arial" w:cs="Arial"/>
          <w:sz w:val="20"/>
          <w:szCs w:val="20"/>
          <w:lang w:val="fr-FR" w:bidi="fr-FR"/>
        </w:rPr>
        <w:t xml:space="preserve">Et l’ambition s’accompagne d’un plus grand potentiel de progrès. </w:t>
      </w:r>
    </w:p>
    <w:p w14:paraId="581D55EB" w14:textId="77777777" w:rsidR="00E1581B" w:rsidRDefault="00E1581B" w:rsidP="00E1581B">
      <w:pPr>
        <w:spacing w:line="240" w:lineRule="auto"/>
        <w:rPr>
          <w:rFonts w:eastAsia="Arial" w:cs="Arial"/>
          <w:sz w:val="20"/>
          <w:szCs w:val="20"/>
          <w:lang w:val="fr-FR" w:bidi="fr-FR"/>
        </w:rPr>
      </w:pPr>
    </w:p>
    <w:p w14:paraId="5DAAE77D" w14:textId="382E025C" w:rsidR="00E1581B" w:rsidRPr="00E1581B" w:rsidRDefault="00E1581B" w:rsidP="00E1581B">
      <w:pPr>
        <w:spacing w:line="240" w:lineRule="auto"/>
        <w:rPr>
          <w:rFonts w:cs="Arial"/>
          <w:sz w:val="20"/>
          <w:szCs w:val="20"/>
          <w:lang w:val="fr-FR"/>
        </w:rPr>
      </w:pPr>
      <w:r w:rsidRPr="00E1581B">
        <w:rPr>
          <w:rFonts w:eastAsia="Arial" w:cs="Arial"/>
          <w:sz w:val="20"/>
          <w:szCs w:val="20"/>
          <w:lang w:val="fr-FR" w:bidi="fr-FR"/>
        </w:rPr>
        <w:t xml:space="preserve">En 2021, nous avons fait réaliser une première </w:t>
      </w:r>
      <w:r w:rsidRPr="00C90EAA">
        <w:rPr>
          <w:rFonts w:eastAsia="Arial" w:cs="Arial"/>
          <w:color w:val="2C2C2C" w:themeColor="text1" w:themeShade="80"/>
          <w:sz w:val="20"/>
          <w:szCs w:val="20"/>
          <w:lang w:val="fr-FR" w:bidi="fr-FR"/>
        </w:rPr>
        <w:t xml:space="preserve">évaluation par </w:t>
      </w:r>
      <w:hyperlink r:id="rId11" w:history="1">
        <w:proofErr w:type="spellStart"/>
        <w:r w:rsidRPr="00C90EAA">
          <w:rPr>
            <w:rStyle w:val="Hyperlink"/>
            <w:rFonts w:eastAsia="Arial" w:cs="Arial"/>
            <w:color w:val="2C2C2C" w:themeColor="text1" w:themeShade="80"/>
            <w:sz w:val="20"/>
            <w:szCs w:val="20"/>
            <w:u w:val="none"/>
            <w:lang w:val="fr-FR" w:bidi="fr-FR"/>
          </w:rPr>
          <w:t>EcoVadis</w:t>
        </w:r>
        <w:proofErr w:type="spellEnd"/>
      </w:hyperlink>
      <w:r w:rsidRPr="00C90EAA">
        <w:rPr>
          <w:rFonts w:eastAsia="Arial" w:cs="Arial"/>
          <w:color w:val="2C2C2C" w:themeColor="text1" w:themeShade="80"/>
          <w:sz w:val="20"/>
          <w:szCs w:val="20"/>
          <w:lang w:val="fr-FR" w:bidi="fr-FR"/>
        </w:rPr>
        <w:t xml:space="preserve">, le fournisseur </w:t>
      </w:r>
      <w:r w:rsidRPr="00E1581B">
        <w:rPr>
          <w:rFonts w:eastAsia="Arial" w:cs="Arial"/>
          <w:sz w:val="20"/>
          <w:szCs w:val="20"/>
          <w:lang w:val="fr-FR" w:bidi="fr-FR"/>
        </w:rPr>
        <w:t xml:space="preserve">le plus important et le plus fiable au monde en matière de notation de durabilité des entreprises. Suite à leur étude initiale, nous avons établi notre programme de durabilité. Avec notre deuxième note de 49 points, nous avons reçu une médaille de bronze. </w:t>
      </w:r>
    </w:p>
    <w:p w14:paraId="5FC5B431" w14:textId="77777777" w:rsidR="00E1581B" w:rsidRDefault="00E1581B" w:rsidP="00E1581B">
      <w:pPr>
        <w:spacing w:line="240" w:lineRule="auto"/>
        <w:rPr>
          <w:rFonts w:eastAsia="Arial" w:cs="Arial"/>
          <w:sz w:val="20"/>
          <w:szCs w:val="20"/>
          <w:lang w:val="fr-FR" w:bidi="fr-FR"/>
        </w:rPr>
      </w:pPr>
    </w:p>
    <w:p w14:paraId="007F9FA6" w14:textId="7875F1AF" w:rsidR="00E1581B" w:rsidRPr="00E1581B" w:rsidRDefault="00E1581B" w:rsidP="00E1581B">
      <w:pPr>
        <w:spacing w:line="240" w:lineRule="auto"/>
        <w:rPr>
          <w:rFonts w:cs="Arial"/>
          <w:sz w:val="20"/>
          <w:szCs w:val="20"/>
          <w:lang w:val="fr-FR"/>
        </w:rPr>
      </w:pPr>
      <w:r w:rsidRPr="00E1581B">
        <w:rPr>
          <w:rFonts w:eastAsia="Arial" w:cs="Arial"/>
          <w:sz w:val="20"/>
          <w:szCs w:val="20"/>
          <w:lang w:val="fr-FR" w:bidi="fr-FR"/>
        </w:rPr>
        <w:t xml:space="preserve">En 2023, nous avons obtenu notre troisième et dernière note de 63 points, qui nous a valu une médaille d'argent. Cela place BOBST parmi les 20 % des meilleures entreprises en termes de durabilité. Nous n’avons bien sûr pas terminé et nous avons encore bon nombre d’améliorations à apporter. Mais en réalisant de grands progrès dans nos propres opérations, nous nous sommes offerts de solides fondations pour garantir un succès durable. </w:t>
      </w:r>
    </w:p>
    <w:p w14:paraId="6923D51B" w14:textId="77777777" w:rsidR="00E1581B" w:rsidRDefault="00E1581B" w:rsidP="00E1581B">
      <w:pPr>
        <w:spacing w:line="240" w:lineRule="auto"/>
        <w:rPr>
          <w:rFonts w:eastAsia="Arial" w:cs="Arial"/>
          <w:b/>
          <w:sz w:val="20"/>
          <w:szCs w:val="20"/>
          <w:lang w:val="fr-FR" w:bidi="fr-FR"/>
        </w:rPr>
      </w:pPr>
    </w:p>
    <w:p w14:paraId="3B1C52BC" w14:textId="3E9EB21D" w:rsidR="00E1581B" w:rsidRPr="00E1581B" w:rsidRDefault="00E1581B" w:rsidP="00E1581B">
      <w:pPr>
        <w:spacing w:line="240" w:lineRule="auto"/>
        <w:rPr>
          <w:rFonts w:cs="Arial"/>
          <w:b/>
          <w:bCs/>
          <w:sz w:val="20"/>
          <w:szCs w:val="20"/>
          <w:lang w:val="fr-FR"/>
        </w:rPr>
      </w:pPr>
      <w:r w:rsidRPr="00E1581B">
        <w:rPr>
          <w:rFonts w:eastAsia="Arial" w:cs="Arial"/>
          <w:b/>
          <w:sz w:val="20"/>
          <w:szCs w:val="20"/>
          <w:lang w:val="fr-FR" w:bidi="fr-FR"/>
        </w:rPr>
        <w:t>Amélioration de l’équipement</w:t>
      </w:r>
    </w:p>
    <w:p w14:paraId="5FA154DA" w14:textId="77777777" w:rsidR="00E1581B" w:rsidRDefault="00E1581B" w:rsidP="00E1581B">
      <w:pPr>
        <w:spacing w:line="240" w:lineRule="auto"/>
        <w:rPr>
          <w:rFonts w:eastAsia="Arial" w:cs="Arial"/>
          <w:sz w:val="20"/>
          <w:szCs w:val="20"/>
          <w:lang w:val="fr-FR" w:bidi="fr-FR"/>
        </w:rPr>
      </w:pPr>
    </w:p>
    <w:p w14:paraId="489ECF50" w14:textId="1EB34D18" w:rsidR="00E1581B" w:rsidRPr="00E1581B" w:rsidRDefault="00E1581B" w:rsidP="00E1581B">
      <w:pPr>
        <w:spacing w:line="240" w:lineRule="auto"/>
        <w:rPr>
          <w:rFonts w:cs="Arial"/>
          <w:sz w:val="20"/>
          <w:szCs w:val="20"/>
          <w:lang w:val="fr-FR"/>
        </w:rPr>
      </w:pPr>
      <w:r w:rsidRPr="00E1581B">
        <w:rPr>
          <w:rFonts w:eastAsia="Arial" w:cs="Arial"/>
          <w:sz w:val="20"/>
          <w:szCs w:val="20"/>
          <w:lang w:val="fr-FR" w:bidi="fr-FR"/>
        </w:rPr>
        <w:t xml:space="preserve">Les machines sont au cœur de l’activité de BOBST. Nous comprenons que l'emballage exige de grandes machines à haute productivité, conçues pour fonctionner 24 heures sur 24, sept jours sur sept, ce qui fait de la charge environnementale des machines en termes de consommation d'énergie et de matériaux un défi majeur. </w:t>
      </w:r>
    </w:p>
    <w:p w14:paraId="1D543E48" w14:textId="77777777" w:rsidR="00E1581B" w:rsidRDefault="00E1581B" w:rsidP="00E1581B">
      <w:pPr>
        <w:spacing w:line="240" w:lineRule="auto"/>
        <w:rPr>
          <w:rFonts w:eastAsia="Arial" w:cs="Arial"/>
          <w:sz w:val="20"/>
          <w:szCs w:val="20"/>
          <w:lang w:val="fr-FR" w:bidi="fr-FR"/>
        </w:rPr>
      </w:pPr>
    </w:p>
    <w:p w14:paraId="0F840D47" w14:textId="4B4125CE" w:rsidR="00E1581B" w:rsidRPr="00E1581B" w:rsidRDefault="00E1581B" w:rsidP="00E1581B">
      <w:pPr>
        <w:spacing w:line="240" w:lineRule="auto"/>
        <w:rPr>
          <w:rFonts w:cs="Arial"/>
          <w:sz w:val="20"/>
          <w:szCs w:val="20"/>
          <w:lang w:val="fr-FR"/>
        </w:rPr>
      </w:pPr>
      <w:r w:rsidRPr="00E1581B">
        <w:rPr>
          <w:rFonts w:eastAsia="Arial" w:cs="Arial"/>
          <w:sz w:val="20"/>
          <w:szCs w:val="20"/>
          <w:lang w:val="fr-FR" w:bidi="fr-FR"/>
        </w:rPr>
        <w:t>Nous savons que la plupart des émissions de carbone se produisent en aval de la chaîne de valeur, c'est-à-dire sur les sites de nos clients, où nous avons moins de poids. Mais nous estimons que nous avons toujours la responsabilité d’aider nos clients à réduire ces émissions. C’est la raison pour laquelle nous avons donné à nos équipes un objectif de réduction de 20 % de la consommation énergétique des machines que nous vendrons en 2030 par rapport à notre référence de 2022.</w:t>
      </w:r>
    </w:p>
    <w:p w14:paraId="6E64BEA3" w14:textId="77777777" w:rsidR="00E1581B" w:rsidRDefault="00E1581B" w:rsidP="00E1581B">
      <w:pPr>
        <w:spacing w:line="240" w:lineRule="auto"/>
        <w:rPr>
          <w:rFonts w:eastAsia="Arial" w:cs="Arial"/>
          <w:sz w:val="20"/>
          <w:szCs w:val="20"/>
          <w:lang w:val="fr-FR" w:bidi="fr-FR"/>
        </w:rPr>
      </w:pPr>
    </w:p>
    <w:p w14:paraId="57FE0EC5" w14:textId="43E61FF4" w:rsidR="00E1581B" w:rsidRPr="00C90EAA" w:rsidRDefault="00E1581B" w:rsidP="00E1581B">
      <w:pPr>
        <w:spacing w:line="240" w:lineRule="auto"/>
        <w:rPr>
          <w:rFonts w:eastAsia="Arial" w:cs="Arial"/>
          <w:sz w:val="20"/>
          <w:szCs w:val="20"/>
          <w:lang w:val="fr-FR" w:bidi="fr-FR"/>
        </w:rPr>
      </w:pPr>
      <w:r w:rsidRPr="00C90EAA">
        <w:rPr>
          <w:rFonts w:eastAsia="Arial" w:cs="Arial"/>
          <w:sz w:val="20"/>
          <w:szCs w:val="20"/>
          <w:lang w:val="fr-FR" w:bidi="fr-FR"/>
        </w:rPr>
        <w:t>En matière de ressources, une stratégie clé concerne la réduction de l’encre, des déchets et du substrat. Nous avons par exemple fait de l'emballage zéro défaut une réalité grâce à des innovations comme ACCUCHECK, qui réduit les déchets en éliminant uniquement les emballages ne répondant pas à des critères de qualité précis. oneECG – notre technologie de gamme chromatique étendue, qui numérise et automatise la gestion des couleurs – ne crée aucun gaspillage d'encre, utilise 30 % d'encre en moins et réduit les temps et les déchets lors des réglages jusqu’à 90%. Parallèlement, notre système pionnier Start&amp;Go pour un enregistrement optimal des impressions permet un réglage automatique rapide au début de chaque travail en quelques feuilles seulement, permettant ainsi des économies considérables en termes de feuilles utilisées par an. Dans le domaine des étiquettes, nous avons travaillé avec Avery Dennison sur une solution d'étiquettes sans papier support, qui augmente considérablement le matériau sur bobine, augmentant ainsi l'efficacité de la production et éliminant la nécessité de matériau de support.</w:t>
      </w:r>
    </w:p>
    <w:p w14:paraId="51B64A7C" w14:textId="77777777" w:rsidR="00E1581B" w:rsidRPr="00C90EAA" w:rsidRDefault="00E1581B" w:rsidP="00E1581B">
      <w:pPr>
        <w:spacing w:line="240" w:lineRule="auto"/>
        <w:rPr>
          <w:rFonts w:cs="Arial"/>
          <w:sz w:val="20"/>
          <w:szCs w:val="20"/>
          <w:lang w:val="fr-FR"/>
        </w:rPr>
      </w:pPr>
    </w:p>
    <w:p w14:paraId="48897B53" w14:textId="77777777" w:rsidR="00E1581B" w:rsidRPr="00C90EAA" w:rsidRDefault="00E1581B" w:rsidP="00E1581B">
      <w:pPr>
        <w:spacing w:line="240" w:lineRule="auto"/>
        <w:rPr>
          <w:rFonts w:eastAsia="Arial" w:cs="Arial"/>
          <w:sz w:val="20"/>
          <w:szCs w:val="20"/>
          <w:lang w:val="fr-FR" w:bidi="fr-FR"/>
        </w:rPr>
      </w:pPr>
      <w:r w:rsidRPr="00C90EAA">
        <w:rPr>
          <w:rFonts w:eastAsia="Arial" w:cs="Arial"/>
          <w:sz w:val="20"/>
          <w:szCs w:val="20"/>
          <w:lang w:val="fr-FR" w:bidi="fr-FR"/>
        </w:rPr>
        <w:t>Un autre domaine d’intérêt majeur consiste à optimiser les machines actuellement installées. Nous nous efforçons de permettre des rétrofits afin que nos clients puissent mettre à niveau les anciennes machines BOBST avec des développements plus récents – par exemple, en ajoutant l'EcoMode automatique sur les machines d'héliogravure, ce qui permet de réduire la consommation d'énergie jusqu'à 50 % en veille. Un autre produit à venir pour les machines d’héliogravure et de couchage est un kit d'efficacité de ventilation, qui permet de réutiliser la chaleur perdue et d'optimiser la puissance du ventilateur pour économiser des quantités massives d'énergie thermique nécessaires au séchage.</w:t>
      </w:r>
    </w:p>
    <w:p w14:paraId="13597E82" w14:textId="77777777" w:rsidR="00E1581B" w:rsidRPr="00C90EAA" w:rsidRDefault="00E1581B" w:rsidP="00E1581B">
      <w:pPr>
        <w:spacing w:line="240" w:lineRule="auto"/>
        <w:rPr>
          <w:rFonts w:cs="Arial"/>
          <w:sz w:val="20"/>
          <w:szCs w:val="20"/>
          <w:lang w:val="fr-FR"/>
        </w:rPr>
      </w:pPr>
    </w:p>
    <w:p w14:paraId="5D4CFE3C" w14:textId="77777777" w:rsidR="00E1581B" w:rsidRPr="00C90EAA" w:rsidRDefault="00E1581B" w:rsidP="00E1581B">
      <w:pPr>
        <w:spacing w:line="240" w:lineRule="auto"/>
        <w:rPr>
          <w:rFonts w:cs="Arial"/>
          <w:sz w:val="20"/>
          <w:szCs w:val="20"/>
          <w:lang w:val="fr-FR"/>
        </w:rPr>
      </w:pPr>
      <w:r w:rsidRPr="00C90EAA">
        <w:rPr>
          <w:rFonts w:eastAsia="Arial" w:cs="Arial"/>
          <w:sz w:val="20"/>
          <w:szCs w:val="20"/>
          <w:lang w:val="fr-FR" w:bidi="fr-FR"/>
        </w:rPr>
        <w:t>Le reconditionnement des machines est un moyen très économique et durable qui permet l’augmentation la productivité. BOBST propose ce service par l’intermédiaire de CM Services, un fournisseur mondial de presses reconditionnées pour carton ondulé et pour boîtes pliantes. De cette manière, les anciennes machines peuvent voir leur durée de vie doublée, tout en étant rajeunies grâce à une nouvelle électronique, des moteurs plus efficaces et l'ajout de logiciels pour activer des fonctionnalités telles que l'assistance à distance.</w:t>
      </w:r>
    </w:p>
    <w:p w14:paraId="05B3A400" w14:textId="77777777" w:rsidR="00E1581B" w:rsidRDefault="00E1581B" w:rsidP="00E1581B">
      <w:pPr>
        <w:spacing w:line="240" w:lineRule="auto"/>
        <w:rPr>
          <w:rFonts w:eastAsia="Arial" w:cs="Arial"/>
          <w:b/>
          <w:sz w:val="20"/>
          <w:szCs w:val="20"/>
          <w:lang w:val="fr-FR" w:bidi="fr-FR"/>
        </w:rPr>
      </w:pPr>
    </w:p>
    <w:p w14:paraId="6DC230E4" w14:textId="6B570DA7" w:rsidR="00E1581B" w:rsidRPr="00E1581B" w:rsidRDefault="00E1581B" w:rsidP="00E1581B">
      <w:pPr>
        <w:spacing w:line="240" w:lineRule="auto"/>
        <w:rPr>
          <w:rFonts w:cs="Arial"/>
          <w:b/>
          <w:bCs/>
          <w:sz w:val="20"/>
          <w:szCs w:val="20"/>
          <w:lang w:val="fr-FR"/>
        </w:rPr>
      </w:pPr>
      <w:r w:rsidRPr="00E1581B">
        <w:rPr>
          <w:rFonts w:eastAsia="Arial" w:cs="Arial"/>
          <w:b/>
          <w:sz w:val="20"/>
          <w:szCs w:val="20"/>
          <w:lang w:val="fr-FR" w:bidi="fr-FR"/>
        </w:rPr>
        <w:t xml:space="preserve">Progresser dans la durabilité des emballages </w:t>
      </w:r>
    </w:p>
    <w:p w14:paraId="48AFD682" w14:textId="77777777" w:rsidR="00E1581B" w:rsidRDefault="00E1581B" w:rsidP="00E1581B">
      <w:pPr>
        <w:spacing w:line="240" w:lineRule="auto"/>
        <w:rPr>
          <w:rFonts w:eastAsia="Arial" w:cs="Arial"/>
          <w:sz w:val="20"/>
          <w:szCs w:val="20"/>
          <w:lang w:val="fr-FR" w:bidi="fr-FR"/>
        </w:rPr>
      </w:pPr>
    </w:p>
    <w:p w14:paraId="4DDA86A6" w14:textId="57A74FDE" w:rsidR="00E1581B" w:rsidRPr="00E1581B" w:rsidRDefault="00E1581B" w:rsidP="00E1581B">
      <w:pPr>
        <w:spacing w:line="240" w:lineRule="auto"/>
        <w:rPr>
          <w:rFonts w:cs="Arial"/>
          <w:sz w:val="20"/>
          <w:szCs w:val="20"/>
          <w:lang w:val="fr-FR"/>
        </w:rPr>
      </w:pPr>
      <w:r w:rsidRPr="00E1581B">
        <w:rPr>
          <w:rFonts w:eastAsia="Arial" w:cs="Arial"/>
          <w:sz w:val="20"/>
          <w:szCs w:val="20"/>
          <w:lang w:val="fr-FR" w:bidi="fr-FR"/>
        </w:rPr>
        <w:t xml:space="preserve">Il y a ensuite l’emballage lui-même. C’est le domaine où les yeux du monde entier sont vraiment rivés sur nous. En tant qu’industrie, nous devons conduire le monde vers une nouvelle ère d’emballages recyclables. </w:t>
      </w:r>
    </w:p>
    <w:p w14:paraId="4F3A07B1" w14:textId="77777777" w:rsidR="00E1581B" w:rsidRDefault="00E1581B" w:rsidP="00E1581B">
      <w:pPr>
        <w:spacing w:line="240" w:lineRule="auto"/>
        <w:rPr>
          <w:rFonts w:eastAsia="Arial" w:cs="Arial"/>
          <w:sz w:val="20"/>
          <w:szCs w:val="20"/>
          <w:lang w:val="fr-FR" w:bidi="fr-FR"/>
        </w:rPr>
      </w:pPr>
    </w:p>
    <w:p w14:paraId="536C76D4" w14:textId="1CC5116B" w:rsidR="00E1581B" w:rsidRPr="00E1581B" w:rsidRDefault="00E1581B" w:rsidP="00E1581B">
      <w:pPr>
        <w:spacing w:line="240" w:lineRule="auto"/>
        <w:rPr>
          <w:rFonts w:cs="Arial"/>
          <w:sz w:val="20"/>
          <w:szCs w:val="20"/>
          <w:lang w:val="fr-FR"/>
        </w:rPr>
      </w:pPr>
      <w:r w:rsidRPr="00E1581B">
        <w:rPr>
          <w:rFonts w:eastAsia="Arial" w:cs="Arial"/>
          <w:sz w:val="20"/>
          <w:szCs w:val="20"/>
          <w:lang w:val="fr-FR" w:bidi="fr-FR"/>
        </w:rPr>
        <w:t>Pour soutenir l'industrie dans ses objectifs en matière d'emballages recyclables, BOBST, en collaboration avec des partenaires industriels de premier plan, a lancé une gamme de solutions d'emballage innovantes et améliorées sur le plan environnemental. Ce parcours s’est étendu sur plusieurs années et atteint un point critique et extrêmement fascinant, lorsque tout le travail acharné, la collaboration et la R&amp;D aboutissent à des solutions réelles et commercialisées dans les rayons de nos supermarchés.</w:t>
      </w:r>
    </w:p>
    <w:p w14:paraId="175FFE79" w14:textId="77777777" w:rsidR="00E1581B" w:rsidRDefault="00E1581B" w:rsidP="00E1581B">
      <w:pPr>
        <w:spacing w:line="240" w:lineRule="auto"/>
        <w:rPr>
          <w:rFonts w:eastAsia="Arial" w:cs="Arial"/>
          <w:sz w:val="20"/>
          <w:szCs w:val="20"/>
          <w:lang w:val="fr-FR" w:bidi="fr-FR"/>
        </w:rPr>
      </w:pPr>
    </w:p>
    <w:p w14:paraId="03178BC5" w14:textId="0045F8A2" w:rsidR="00E1581B" w:rsidRPr="00E1581B" w:rsidRDefault="00E1581B" w:rsidP="00E1581B">
      <w:pPr>
        <w:spacing w:line="240" w:lineRule="auto"/>
        <w:rPr>
          <w:rFonts w:cs="Arial"/>
          <w:sz w:val="20"/>
          <w:szCs w:val="20"/>
          <w:lang w:val="fr-FR"/>
        </w:rPr>
      </w:pPr>
      <w:r w:rsidRPr="00E1581B">
        <w:rPr>
          <w:rFonts w:eastAsia="Arial" w:cs="Arial"/>
          <w:sz w:val="20"/>
          <w:szCs w:val="20"/>
          <w:lang w:val="fr-FR" w:bidi="fr-FR"/>
        </w:rPr>
        <w:t xml:space="preserve">oneBARRIER est une famille de substrats mono-matériaux duplex et triplex haute et ultra-haute barrière destinés aux concepteurs d’emballages. Prêts à être recyclés, ils offrent une nouvelle alternative aux films en polyester métallisé non recyclables. </w:t>
      </w:r>
    </w:p>
    <w:p w14:paraId="4793662B" w14:textId="77777777" w:rsidR="00E1581B" w:rsidRDefault="00E1581B" w:rsidP="00E1581B">
      <w:pPr>
        <w:spacing w:line="240" w:lineRule="auto"/>
        <w:rPr>
          <w:rFonts w:eastAsia="Arial" w:cs="Arial"/>
          <w:sz w:val="20"/>
          <w:szCs w:val="20"/>
          <w:lang w:val="fr-FR" w:bidi="fr-FR"/>
        </w:rPr>
      </w:pPr>
    </w:p>
    <w:p w14:paraId="3959B57F" w14:textId="58B23476" w:rsidR="00E1581B" w:rsidRPr="00E1581B" w:rsidRDefault="00E1581B" w:rsidP="00E1581B">
      <w:pPr>
        <w:spacing w:line="240" w:lineRule="auto"/>
        <w:rPr>
          <w:rFonts w:cs="Arial"/>
          <w:sz w:val="20"/>
          <w:szCs w:val="20"/>
          <w:lang w:val="fr-FR"/>
        </w:rPr>
      </w:pPr>
      <w:r w:rsidRPr="00E1581B">
        <w:rPr>
          <w:rFonts w:eastAsia="Arial" w:cs="Arial"/>
          <w:sz w:val="20"/>
          <w:szCs w:val="20"/>
          <w:lang w:val="fr-FR" w:bidi="fr-FR"/>
        </w:rPr>
        <w:t>La gamme de solutions durables oneBARRIER de BOBST comprend à ce jour PrimeCycle, qui offre des solutions en PE sans EVOH et sans couche de finition à base d’AlOx (transparent) ou à base d’AluBond (opaque), et FibreCycle, une structure mono-matériau haute barrière en papier avec couches fonctionnelles qui peut être recyclé dans le flux de papier existant. Des instituts tiers de premier plan ont confirmé la recyclabilité de nos deux premières solutions oneBARRIER.</w:t>
      </w:r>
    </w:p>
    <w:p w14:paraId="6E62A8FE" w14:textId="77777777" w:rsidR="00E1581B" w:rsidRDefault="00E1581B" w:rsidP="00E1581B">
      <w:pPr>
        <w:spacing w:line="240" w:lineRule="auto"/>
        <w:rPr>
          <w:rFonts w:eastAsia="Arial" w:cs="Arial"/>
          <w:sz w:val="20"/>
          <w:szCs w:val="20"/>
          <w:lang w:val="fr-FR" w:bidi="fr-FR"/>
        </w:rPr>
      </w:pPr>
    </w:p>
    <w:p w14:paraId="41949411" w14:textId="7CC360BA" w:rsidR="00E1581B" w:rsidRPr="00E1581B" w:rsidRDefault="00E1581B" w:rsidP="00E1581B">
      <w:pPr>
        <w:spacing w:line="240" w:lineRule="auto"/>
        <w:rPr>
          <w:rFonts w:cs="Arial"/>
          <w:sz w:val="20"/>
          <w:szCs w:val="20"/>
          <w:lang w:val="fr-FR"/>
        </w:rPr>
      </w:pPr>
      <w:r w:rsidRPr="00E1581B">
        <w:rPr>
          <w:rFonts w:eastAsia="Arial" w:cs="Arial"/>
          <w:sz w:val="20"/>
          <w:szCs w:val="20"/>
          <w:lang w:val="fr-FR" w:bidi="fr-FR"/>
        </w:rPr>
        <w:t xml:space="preserve">Aujourd’hui, nous nous développons dans de nouveaux types d’applications et modèles d’emballage, tout en élargissant l’écosystème avec de nouveaux partenaires. Nous travaillons sur des solutions utilisant du BOPP, ainsi que des matériaux biodégradables issus de ressources naturelles et renouvelables. Il n’existe pas de solution miracle, c’est pourquoi nous avons besoin d’une « famille » de solutions pour tous les types de matériaux. </w:t>
      </w:r>
    </w:p>
    <w:p w14:paraId="68116E84" w14:textId="77777777" w:rsidR="00E1581B" w:rsidRDefault="00E1581B" w:rsidP="00E1581B">
      <w:pPr>
        <w:spacing w:line="240" w:lineRule="auto"/>
        <w:rPr>
          <w:rFonts w:eastAsia="Arial" w:cs="Arial"/>
          <w:sz w:val="20"/>
          <w:szCs w:val="20"/>
          <w:lang w:val="fr-FR" w:bidi="fr-FR"/>
        </w:rPr>
      </w:pPr>
    </w:p>
    <w:p w14:paraId="7C01333A" w14:textId="59FA07FE" w:rsidR="00E1581B" w:rsidRPr="00E1581B" w:rsidRDefault="00E1581B" w:rsidP="00E1581B">
      <w:pPr>
        <w:spacing w:line="240" w:lineRule="auto"/>
        <w:rPr>
          <w:rFonts w:cs="Arial"/>
          <w:sz w:val="20"/>
          <w:szCs w:val="20"/>
          <w:lang w:val="fr-FR"/>
        </w:rPr>
      </w:pPr>
      <w:r w:rsidRPr="00E1581B">
        <w:rPr>
          <w:rFonts w:eastAsia="Arial" w:cs="Arial"/>
          <w:sz w:val="20"/>
          <w:szCs w:val="20"/>
          <w:lang w:val="fr-FR" w:bidi="fr-FR"/>
        </w:rPr>
        <w:t xml:space="preserve">Cet exemple illustre la manière dont la durabilité exige un engagement, une collaboration et une innovation continue pour permettre de réels progrès. </w:t>
      </w:r>
    </w:p>
    <w:p w14:paraId="786E8343" w14:textId="77777777" w:rsidR="00E1581B" w:rsidRDefault="00E1581B" w:rsidP="00E1581B">
      <w:pPr>
        <w:spacing w:line="240" w:lineRule="auto"/>
        <w:rPr>
          <w:rFonts w:eastAsia="Arial" w:cs="Arial"/>
          <w:sz w:val="20"/>
          <w:szCs w:val="20"/>
          <w:lang w:val="fr-FR" w:bidi="fr-FR"/>
        </w:rPr>
      </w:pPr>
    </w:p>
    <w:p w14:paraId="55173D38" w14:textId="7FC9B696" w:rsidR="00E1581B" w:rsidRPr="00E1581B" w:rsidRDefault="00E1581B" w:rsidP="00E1581B">
      <w:pPr>
        <w:spacing w:line="240" w:lineRule="auto"/>
        <w:rPr>
          <w:rFonts w:cs="Arial"/>
          <w:sz w:val="20"/>
          <w:szCs w:val="20"/>
          <w:lang w:val="fr-FR"/>
        </w:rPr>
      </w:pPr>
      <w:r w:rsidRPr="00E1581B">
        <w:rPr>
          <w:rFonts w:eastAsia="Arial" w:cs="Arial"/>
          <w:sz w:val="20"/>
          <w:szCs w:val="20"/>
          <w:lang w:val="fr-FR" w:bidi="fr-FR"/>
        </w:rPr>
        <w:t xml:space="preserve">La collaboration est véritablement au cœur du processus : notre travail sur oneBARRIER a démontré à quel point il est possible d'accomplir beaucoup lorsque plusieurs experts se réunissent autour d'un objectif commun. Nous cherchons désormais à tirer parti des progrès considérables qui ont été réalisés, à atteindre nos objectifs de durabilité à aider nos clients à atteindre les leurs. </w:t>
      </w:r>
    </w:p>
    <w:p w14:paraId="3F8C6DD9" w14:textId="77777777" w:rsidR="00E1581B" w:rsidRPr="00C90EAA" w:rsidRDefault="00E1581B" w:rsidP="00E1581B">
      <w:pPr>
        <w:spacing w:line="240" w:lineRule="auto"/>
        <w:rPr>
          <w:color w:val="0000FF"/>
          <w:sz w:val="20"/>
          <w:szCs w:val="20"/>
          <w:lang w:val="fr-CH"/>
        </w:rPr>
      </w:pPr>
    </w:p>
    <w:p w14:paraId="635DBB97" w14:textId="1D665705" w:rsidR="00E1581B" w:rsidRPr="00E1581B" w:rsidRDefault="00C90EAA" w:rsidP="00E1581B">
      <w:pPr>
        <w:pStyle w:val="paragraph"/>
        <w:spacing w:before="0" w:beforeAutospacing="0" w:after="0" w:afterAutospacing="0"/>
        <w:textAlignment w:val="baseline"/>
        <w:rPr>
          <w:rFonts w:asciiTheme="minorHAnsi" w:hAnsiTheme="minorHAnsi" w:cstheme="minorHAnsi"/>
          <w:b/>
          <w:bCs/>
          <w:sz w:val="20"/>
          <w:szCs w:val="20"/>
          <w:lang w:val="fr-FR"/>
        </w:rPr>
      </w:pPr>
      <w:r>
        <w:rPr>
          <w:rFonts w:asciiTheme="minorHAnsi" w:hAnsiTheme="minorHAnsi" w:cstheme="minorHAnsi"/>
          <w:b/>
          <w:bCs/>
          <w:sz w:val="20"/>
          <w:szCs w:val="20"/>
          <w:lang w:val="fr-FR"/>
        </w:rPr>
        <w:t>./.</w:t>
      </w:r>
    </w:p>
    <w:p w14:paraId="5B279958" w14:textId="77777777" w:rsidR="00103DF2" w:rsidRPr="00E1581B" w:rsidRDefault="00103DF2" w:rsidP="00E1581B">
      <w:pPr>
        <w:pStyle w:val="paragraph"/>
        <w:spacing w:before="0" w:beforeAutospacing="0" w:after="0" w:afterAutospacing="0"/>
        <w:textAlignment w:val="baseline"/>
        <w:rPr>
          <w:rFonts w:asciiTheme="minorHAnsi" w:hAnsiTheme="minorHAnsi" w:cstheme="minorHAnsi"/>
          <w:b/>
          <w:bCs/>
          <w:sz w:val="20"/>
          <w:szCs w:val="20"/>
          <w:lang w:val="fr-FR"/>
        </w:rPr>
      </w:pPr>
    </w:p>
    <w:p w14:paraId="7BBC7E6A" w14:textId="77777777" w:rsidR="00EE31B1" w:rsidRPr="00E1581B" w:rsidRDefault="00EE31B1" w:rsidP="00E1581B">
      <w:pPr>
        <w:autoSpaceDE w:val="0"/>
        <w:autoSpaceDN w:val="0"/>
        <w:adjustRightInd w:val="0"/>
        <w:spacing w:line="240" w:lineRule="auto"/>
        <w:outlineLvl w:val="0"/>
        <w:rPr>
          <w:rFonts w:asciiTheme="minorHAnsi" w:hAnsiTheme="minorHAnsi" w:cstheme="minorHAnsi"/>
          <w:b/>
          <w:bCs/>
          <w:szCs w:val="19"/>
          <w:lang w:val="fr-FR"/>
        </w:rPr>
      </w:pPr>
      <w:r w:rsidRPr="00E1581B">
        <w:rPr>
          <w:rFonts w:asciiTheme="minorHAnsi" w:hAnsiTheme="minorHAnsi" w:cstheme="minorHAnsi"/>
          <w:b/>
          <w:bCs/>
          <w:szCs w:val="19"/>
          <w:lang w:val="fr-FR"/>
        </w:rPr>
        <w:lastRenderedPageBreak/>
        <w:t>A propos de BOBST</w:t>
      </w:r>
    </w:p>
    <w:p w14:paraId="070AB674" w14:textId="77777777" w:rsidR="00E1581B" w:rsidRPr="00E1581B" w:rsidRDefault="00E1581B" w:rsidP="00E1581B">
      <w:pPr>
        <w:spacing w:line="240" w:lineRule="auto"/>
        <w:rPr>
          <w:rFonts w:asciiTheme="minorHAnsi" w:hAnsiTheme="minorHAnsi" w:cstheme="minorHAnsi"/>
          <w:szCs w:val="19"/>
          <w:lang w:val="fr-FR"/>
        </w:rPr>
      </w:pPr>
    </w:p>
    <w:p w14:paraId="3770C83D" w14:textId="1ED907BE" w:rsidR="00103DF2" w:rsidRPr="00E1581B" w:rsidRDefault="00103DF2" w:rsidP="00E1581B">
      <w:pPr>
        <w:spacing w:line="240" w:lineRule="auto"/>
        <w:rPr>
          <w:rFonts w:asciiTheme="minorHAnsi" w:hAnsiTheme="minorHAnsi" w:cstheme="minorHAnsi"/>
          <w:szCs w:val="19"/>
          <w:lang w:val="fr-FR"/>
        </w:rPr>
      </w:pPr>
      <w:r w:rsidRPr="00E1581B">
        <w:rPr>
          <w:rFonts w:asciiTheme="minorHAnsi" w:hAnsiTheme="minorHAnsi" w:cstheme="minorHAnsi"/>
          <w:szCs w:val="19"/>
          <w:lang w:val="fr-FR"/>
        </w:rPr>
        <w:t>Nous sommes l’un des premiers fournisseurs mondiaux d’équipements et de services destinés au traitement de substrats, à l’impression et au façonnage pour les industries de l’étiquette, de l’emballage flexible, de la boîte pliante et du carton ondulé.</w:t>
      </w:r>
    </w:p>
    <w:p w14:paraId="7CBE9104" w14:textId="77777777" w:rsidR="00103DF2" w:rsidRPr="00E1581B" w:rsidRDefault="00103DF2" w:rsidP="00E1581B">
      <w:pPr>
        <w:spacing w:line="240" w:lineRule="auto"/>
        <w:rPr>
          <w:rFonts w:asciiTheme="minorHAnsi" w:hAnsiTheme="minorHAnsi" w:cstheme="minorHAnsi"/>
          <w:szCs w:val="19"/>
          <w:lang w:val="fr-FR"/>
        </w:rPr>
      </w:pPr>
    </w:p>
    <w:p w14:paraId="35CE43E2" w14:textId="77777777" w:rsidR="00103DF2" w:rsidRPr="00E1581B" w:rsidRDefault="00103DF2" w:rsidP="00E1581B">
      <w:pPr>
        <w:spacing w:line="240" w:lineRule="auto"/>
        <w:rPr>
          <w:rFonts w:asciiTheme="minorHAnsi" w:hAnsiTheme="minorHAnsi" w:cstheme="minorHAnsi"/>
          <w:szCs w:val="19"/>
          <w:lang w:val="fr-FR"/>
        </w:rPr>
      </w:pPr>
      <w:r w:rsidRPr="00E1581B">
        <w:rPr>
          <w:rFonts w:asciiTheme="minorHAnsi" w:hAnsiTheme="minorHAnsi" w:cstheme="minorHAnsi"/>
          <w:szCs w:val="19"/>
          <w:lang w:val="fr-FR"/>
        </w:rPr>
        <w:t>Fondée en 1890 à Lausanne (Suisse) par Joseph Bobst, la société BOBST est présente dans plus de 50 pays, possède 21 sites de production dans 12 pays et emploie plus de 6 300 personnes dans le monde. Elle a enregistré un chiffre d’affaires consolidé de CHF 1.960 milliard sur l’exercice 2023.</w:t>
      </w:r>
    </w:p>
    <w:p w14:paraId="450F117D" w14:textId="77777777" w:rsidR="00103DF2" w:rsidRPr="00E1581B" w:rsidRDefault="00103DF2" w:rsidP="00E1581B">
      <w:pPr>
        <w:spacing w:line="240" w:lineRule="auto"/>
        <w:rPr>
          <w:rFonts w:asciiTheme="minorHAnsi" w:hAnsiTheme="minorHAnsi" w:cstheme="minorHAnsi"/>
          <w:szCs w:val="19"/>
          <w:lang w:val="fr-FR"/>
        </w:rPr>
      </w:pPr>
    </w:p>
    <w:p w14:paraId="3EB65BCF" w14:textId="77777777" w:rsidR="008A6629" w:rsidRPr="00E1581B" w:rsidRDefault="004C28DE" w:rsidP="00E1581B">
      <w:pPr>
        <w:spacing w:line="240" w:lineRule="auto"/>
        <w:rPr>
          <w:rFonts w:cs="Arial"/>
          <w:b/>
          <w:szCs w:val="19"/>
          <w:lang w:val="fr-BE"/>
        </w:rPr>
      </w:pPr>
      <w:r w:rsidRPr="00E1581B">
        <w:rPr>
          <w:rFonts w:cs="Arial"/>
          <w:b/>
          <w:szCs w:val="19"/>
          <w:lang w:val="fr-BE"/>
        </w:rPr>
        <w:t>Contact presse</w:t>
      </w:r>
      <w:r w:rsidR="008A6629" w:rsidRPr="00E1581B">
        <w:rPr>
          <w:rFonts w:cs="Arial"/>
          <w:b/>
          <w:szCs w:val="19"/>
          <w:lang w:val="fr-BE"/>
        </w:rPr>
        <w:t>:</w:t>
      </w:r>
    </w:p>
    <w:p w14:paraId="74ECDFA6" w14:textId="77777777" w:rsidR="001B00E3" w:rsidRPr="00E1581B" w:rsidRDefault="001B00E3" w:rsidP="00E1581B">
      <w:pPr>
        <w:spacing w:line="240" w:lineRule="auto"/>
        <w:rPr>
          <w:rFonts w:cs="Arial"/>
          <w:b/>
          <w:szCs w:val="19"/>
          <w:lang w:val="fr-BE"/>
        </w:rPr>
      </w:pPr>
    </w:p>
    <w:p w14:paraId="3E4CE023" w14:textId="77777777" w:rsidR="008A6629" w:rsidRPr="00E1581B" w:rsidRDefault="008A6629" w:rsidP="00E1581B">
      <w:pPr>
        <w:spacing w:line="240" w:lineRule="auto"/>
        <w:rPr>
          <w:rFonts w:cs="Arial"/>
          <w:szCs w:val="19"/>
          <w:lang w:val="fr-BE" w:eastAsia="zh-CN"/>
        </w:rPr>
      </w:pPr>
      <w:r w:rsidRPr="00E1581B">
        <w:rPr>
          <w:rFonts w:cs="Arial"/>
          <w:szCs w:val="19"/>
          <w:lang w:val="fr-BE" w:eastAsia="zh-CN"/>
        </w:rPr>
        <w:t>Gudrun Alex</w:t>
      </w:r>
      <w:r w:rsidRPr="00E1581B">
        <w:rPr>
          <w:rFonts w:cs="Arial"/>
          <w:szCs w:val="19"/>
          <w:lang w:val="fr-BE" w:eastAsia="zh-CN"/>
        </w:rPr>
        <w:br/>
        <w:t>BOBST PR Representative</w:t>
      </w:r>
    </w:p>
    <w:p w14:paraId="263F69DF" w14:textId="77777777" w:rsidR="008A6629" w:rsidRPr="00E1581B" w:rsidRDefault="008A6629" w:rsidP="00E1581B">
      <w:pPr>
        <w:spacing w:line="240" w:lineRule="auto"/>
        <w:rPr>
          <w:rFonts w:cs="Arial"/>
          <w:szCs w:val="19"/>
          <w:lang w:val="fr-CH" w:eastAsia="de-DE"/>
        </w:rPr>
      </w:pPr>
      <w:r w:rsidRPr="00E1581B">
        <w:rPr>
          <w:rFonts w:cs="Arial"/>
          <w:szCs w:val="19"/>
          <w:lang w:val="fr-CH" w:eastAsia="de-DE"/>
        </w:rPr>
        <w:t xml:space="preserve">Tel.: +49 211 58 58 66 66 </w:t>
      </w:r>
    </w:p>
    <w:p w14:paraId="69CD4A9A" w14:textId="77777777" w:rsidR="008A6629" w:rsidRPr="00E1581B" w:rsidRDefault="008A6629" w:rsidP="00E1581B">
      <w:pPr>
        <w:spacing w:line="240" w:lineRule="auto"/>
        <w:rPr>
          <w:rFonts w:cs="Arial"/>
          <w:szCs w:val="19"/>
          <w:lang w:val="fr-CH" w:eastAsia="de-DE"/>
        </w:rPr>
      </w:pPr>
      <w:r w:rsidRPr="00E1581B">
        <w:rPr>
          <w:rFonts w:cs="Arial"/>
          <w:szCs w:val="19"/>
          <w:lang w:val="fr-CH" w:eastAsia="de-DE"/>
        </w:rPr>
        <w:t>Mobile: +49 160 48 41 439</w:t>
      </w:r>
    </w:p>
    <w:p w14:paraId="03B3F7CD" w14:textId="77777777" w:rsidR="00280DC9" w:rsidRPr="00E1581B" w:rsidRDefault="00280DC9" w:rsidP="00E1581B">
      <w:pPr>
        <w:spacing w:line="240" w:lineRule="auto"/>
        <w:rPr>
          <w:rFonts w:cs="Arial"/>
          <w:szCs w:val="19"/>
          <w:lang w:val="fr-CH" w:eastAsia="de-DE"/>
        </w:rPr>
      </w:pPr>
      <w:r w:rsidRPr="00E1581B">
        <w:rPr>
          <w:rFonts w:cs="Arial"/>
          <w:szCs w:val="19"/>
          <w:lang w:val="fr-CH" w:eastAsia="de-DE"/>
        </w:rPr>
        <w:t xml:space="preserve">Email: </w:t>
      </w:r>
      <w:hyperlink r:id="rId12" w:history="1">
        <w:r w:rsidRPr="00E1581B">
          <w:rPr>
            <w:rFonts w:asciiTheme="majorHAnsi" w:eastAsia="Microsoft YaHei" w:hAnsiTheme="majorHAnsi" w:cstheme="majorHAnsi"/>
            <w:color w:val="0000FF"/>
            <w:szCs w:val="19"/>
            <w:u w:val="single"/>
            <w:lang w:val="fr-CH" w:eastAsia="de-DE"/>
          </w:rPr>
          <w:t>gudrun.alex@bobst.com</w:t>
        </w:r>
      </w:hyperlink>
    </w:p>
    <w:p w14:paraId="1FF27596" w14:textId="77777777" w:rsidR="008A477E" w:rsidRPr="00E1581B" w:rsidRDefault="008A477E" w:rsidP="00E1581B">
      <w:pPr>
        <w:spacing w:line="240" w:lineRule="auto"/>
        <w:rPr>
          <w:rFonts w:cs="Arial"/>
          <w:szCs w:val="19"/>
          <w:lang w:val="fr-CH" w:eastAsia="de-DE"/>
        </w:rPr>
      </w:pPr>
    </w:p>
    <w:p w14:paraId="72DF9ECD" w14:textId="77777777" w:rsidR="00280DC9" w:rsidRPr="00E1581B" w:rsidRDefault="00280DC9" w:rsidP="00E1581B">
      <w:pPr>
        <w:spacing w:line="240" w:lineRule="auto"/>
        <w:rPr>
          <w:rFonts w:eastAsia="SimSun" w:cs="Arial"/>
          <w:b/>
          <w:bCs/>
          <w:szCs w:val="19"/>
          <w:lang w:val="en-US" w:eastAsia="zh-CN" w:bidi="th-TH"/>
        </w:rPr>
      </w:pPr>
      <w:r w:rsidRPr="00E1581B">
        <w:rPr>
          <w:rFonts w:eastAsia="SimSun" w:cs="Arial"/>
          <w:b/>
          <w:bCs/>
          <w:szCs w:val="19"/>
          <w:lang w:val="en-US" w:eastAsia="zh-CN" w:bidi="th-TH"/>
        </w:rPr>
        <w:t>Follow us:</w:t>
      </w:r>
    </w:p>
    <w:p w14:paraId="07DC0FFE" w14:textId="77777777" w:rsidR="001B00E3" w:rsidRPr="00E1581B" w:rsidRDefault="001B00E3" w:rsidP="00E1581B">
      <w:pPr>
        <w:spacing w:line="240" w:lineRule="auto"/>
        <w:rPr>
          <w:rFonts w:ascii="Times New Roman" w:eastAsia="SimSun" w:hAnsi="Times New Roman"/>
          <w:b/>
          <w:bCs/>
          <w:szCs w:val="19"/>
          <w:lang w:val="en-US" w:eastAsia="zh-CN" w:bidi="th-TH"/>
        </w:rPr>
      </w:pPr>
    </w:p>
    <w:p w14:paraId="205E3DF2" w14:textId="083AC203" w:rsidR="00990BFB" w:rsidRPr="00E1581B" w:rsidRDefault="00280DC9" w:rsidP="00E1581B">
      <w:pPr>
        <w:spacing w:line="240" w:lineRule="auto"/>
        <w:rPr>
          <w:rFonts w:asciiTheme="majorHAnsi" w:eastAsia="Microsoft YaHei" w:hAnsiTheme="majorHAnsi" w:cstheme="majorHAnsi"/>
          <w:color w:val="265896"/>
          <w:szCs w:val="19"/>
          <w:u w:val="single"/>
          <w:lang w:eastAsia="zh-CN" w:bidi="th-TH"/>
        </w:rPr>
      </w:pPr>
      <w:r w:rsidRPr="00E1581B">
        <w:rPr>
          <w:rFonts w:asciiTheme="majorHAnsi" w:eastAsia="Microsoft YaHei" w:hAnsiTheme="majorHAnsi" w:cstheme="majorHAnsi"/>
          <w:szCs w:val="19"/>
          <w:lang w:val="en-US" w:eastAsia="zh-CN" w:bidi="th-TH"/>
        </w:rPr>
        <w:t xml:space="preserve">Facebook: </w:t>
      </w:r>
      <w:hyperlink r:id="rId13" w:history="1">
        <w:r w:rsidRPr="00E1581B">
          <w:rPr>
            <w:rFonts w:asciiTheme="majorHAnsi" w:eastAsia="Microsoft YaHei" w:hAnsiTheme="majorHAnsi" w:cstheme="majorHAnsi"/>
            <w:color w:val="0000FF"/>
            <w:szCs w:val="19"/>
            <w:u w:val="single"/>
            <w:lang w:eastAsia="de-DE"/>
          </w:rPr>
          <w:t>www.bobst.com/facebook</w:t>
        </w:r>
      </w:hyperlink>
      <w:r w:rsidRPr="00E1581B">
        <w:rPr>
          <w:rFonts w:asciiTheme="majorHAnsi" w:eastAsia="Microsoft YaHei" w:hAnsiTheme="majorHAnsi" w:cstheme="majorHAnsi"/>
          <w:szCs w:val="19"/>
          <w:lang w:val="en-US" w:eastAsia="zh-CN" w:bidi="th-TH"/>
        </w:rPr>
        <w:t xml:space="preserve"> </w:t>
      </w:r>
      <w:r w:rsidRPr="00E1581B">
        <w:rPr>
          <w:rFonts w:asciiTheme="majorHAnsi" w:eastAsia="Microsoft YaHei" w:hAnsiTheme="majorHAnsi" w:cstheme="majorHAnsi"/>
          <w:szCs w:val="19"/>
          <w:lang w:val="en-US" w:eastAsia="zh-CN" w:bidi="th-TH"/>
        </w:rPr>
        <w:br/>
        <w:t xml:space="preserve">LinkedIn: </w:t>
      </w:r>
      <w:hyperlink r:id="rId14" w:history="1">
        <w:r w:rsidRPr="00E1581B">
          <w:rPr>
            <w:rFonts w:asciiTheme="majorHAnsi" w:eastAsia="Microsoft YaHei" w:hAnsiTheme="majorHAnsi" w:cstheme="majorHAnsi"/>
            <w:color w:val="0000FF"/>
            <w:szCs w:val="19"/>
            <w:u w:val="single"/>
            <w:lang w:eastAsia="de-DE"/>
          </w:rPr>
          <w:t>www.bobst.com/linkedin</w:t>
        </w:r>
      </w:hyperlink>
      <w:r w:rsidRPr="00E1581B">
        <w:rPr>
          <w:rFonts w:asciiTheme="majorHAnsi" w:eastAsia="Microsoft YaHei" w:hAnsiTheme="majorHAnsi" w:cstheme="majorHAnsi"/>
          <w:szCs w:val="19"/>
          <w:lang w:val="en-US" w:eastAsia="zh-CN" w:bidi="th-TH"/>
        </w:rPr>
        <w:t xml:space="preserve"> </w:t>
      </w:r>
      <w:r w:rsidRPr="00E1581B">
        <w:rPr>
          <w:rFonts w:asciiTheme="majorHAnsi" w:eastAsia="Microsoft YaHei" w:hAnsiTheme="majorHAnsi" w:cstheme="majorHAnsi"/>
          <w:szCs w:val="19"/>
          <w:lang w:val="en-US" w:eastAsia="zh-CN" w:bidi="th-TH"/>
        </w:rPr>
        <w:br/>
        <w:t xml:space="preserve">YouTube: </w:t>
      </w:r>
      <w:hyperlink r:id="rId15" w:history="1">
        <w:r w:rsidRPr="00E1581B">
          <w:rPr>
            <w:rFonts w:asciiTheme="majorHAnsi" w:eastAsia="Microsoft YaHei" w:hAnsiTheme="majorHAnsi" w:cstheme="majorHAnsi"/>
            <w:color w:val="0000FF"/>
            <w:szCs w:val="19"/>
            <w:u w:val="single"/>
            <w:lang w:eastAsia="de-DE"/>
          </w:rPr>
          <w:t>www.bobst.com/youtube</w:t>
        </w:r>
      </w:hyperlink>
    </w:p>
    <w:sectPr w:rsidR="00990BFB" w:rsidRPr="00E1581B" w:rsidSect="005A51C0">
      <w:headerReference w:type="default" r:id="rId16"/>
      <w:footerReference w:type="default" r:id="rId17"/>
      <w:headerReference w:type="first" r:id="rId18"/>
      <w:footerReference w:type="first" r:id="rId19"/>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938EA" w14:textId="77777777" w:rsidR="005A51C0" w:rsidRDefault="005A51C0" w:rsidP="00BB5BE9">
      <w:pPr>
        <w:spacing w:line="240" w:lineRule="auto"/>
      </w:pPr>
      <w:r>
        <w:separator/>
      </w:r>
    </w:p>
  </w:endnote>
  <w:endnote w:type="continuationSeparator" w:id="0">
    <w:p w14:paraId="53EF04EC" w14:textId="77777777" w:rsidR="005A51C0" w:rsidRDefault="005A51C0"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48BEB" w14:textId="29378C95" w:rsidR="00546823" w:rsidRDefault="00F961AB" w:rsidP="00F36CF1">
    <w:pPr>
      <w:pStyle w:val="Footer"/>
      <w:rPr>
        <w:noProof/>
      </w:rPr>
    </w:pPr>
    <w:r w:rsidRPr="00F961AB">
      <w:rPr>
        <w:noProof/>
      </w:rPr>
      <w:t>Communiqué de presse |</w:t>
    </w:r>
    <w:r w:rsidR="00546823" w:rsidRPr="004C28DE">
      <w:t xml:space="preserve"> </w:t>
    </w:r>
    <w:sdt>
      <w:sdtPr>
        <w:tag w:val="T_Page"/>
        <w:id w:val="138242416"/>
      </w:sdtPr>
      <w:sdtContent>
        <w:r w:rsidR="004C28DE">
          <w:t>Page</w:t>
        </w:r>
      </w:sdtContent>
    </w:sdt>
    <w:r w:rsidR="00546823" w:rsidRPr="004C28DE">
      <w:t xml:space="preserve"> </w:t>
    </w:r>
    <w:r w:rsidR="00546823" w:rsidRPr="004C28DE">
      <w:fldChar w:fldCharType="begin"/>
    </w:r>
    <w:r w:rsidR="00546823" w:rsidRPr="004C28DE">
      <w:instrText xml:space="preserve"> PAGE   \* MERGEFORMAT </w:instrText>
    </w:r>
    <w:r w:rsidR="00546823" w:rsidRPr="004C28DE">
      <w:fldChar w:fldCharType="separate"/>
    </w:r>
    <w:r w:rsidR="00441257">
      <w:rPr>
        <w:noProof/>
      </w:rPr>
      <w:t>1</w:t>
    </w:r>
    <w:r w:rsidR="00546823" w:rsidRPr="004C28DE">
      <w:fldChar w:fldCharType="end"/>
    </w:r>
    <w:r w:rsidR="00546823" w:rsidRPr="004C28DE">
      <w:t xml:space="preserve"> </w:t>
    </w:r>
    <w:sdt>
      <w:sdtPr>
        <w:tag w:val="T_PageOf"/>
        <w:id w:val="-2122363321"/>
      </w:sdtPr>
      <w:sdtContent>
        <w:r w:rsidR="004C28DE">
          <w:t>of</w:t>
        </w:r>
      </w:sdtContent>
    </w:sdt>
    <w:r w:rsidR="00546823" w:rsidRPr="004C28DE">
      <w:t xml:space="preserve"> </w:t>
    </w:r>
    <w:r w:rsidR="004701B5">
      <w:rPr>
        <w:noProof/>
      </w:rPr>
      <w:fldChar w:fldCharType="begin"/>
    </w:r>
    <w:r w:rsidR="004701B5">
      <w:rPr>
        <w:noProof/>
      </w:rPr>
      <w:instrText xml:space="preserve"> NUMPAGES   \* MERGEFORMAT </w:instrText>
    </w:r>
    <w:r w:rsidR="004701B5">
      <w:rPr>
        <w:noProof/>
      </w:rPr>
      <w:fldChar w:fldCharType="separate"/>
    </w:r>
    <w:r w:rsidR="00441257">
      <w:rPr>
        <w:noProof/>
      </w:rPr>
      <w:t>1</w:t>
    </w:r>
    <w:r w:rsidR="004701B5">
      <w:rPr>
        <w:noProof/>
      </w:rPr>
      <w:fldChar w:fldCharType="end"/>
    </w:r>
  </w:p>
  <w:p w14:paraId="6B687994" w14:textId="77777777" w:rsidR="00990BFB" w:rsidRDefault="00990BFB" w:rsidP="00F36CF1">
    <w:pPr>
      <w:pStyle w:val="Footer"/>
      <w:rPr>
        <w:noProof/>
      </w:rPr>
    </w:pPr>
  </w:p>
  <w:p w14:paraId="220D2059" w14:textId="77777777" w:rsidR="00990BFB" w:rsidRDefault="00990BFB" w:rsidP="00F36CF1">
    <w:pPr>
      <w:pStyle w:val="Footer"/>
      <w:rPr>
        <w:noProof/>
      </w:rPr>
    </w:pPr>
  </w:p>
  <w:sdt>
    <w:sdtPr>
      <w:rPr>
        <w:rFonts w:eastAsia="SimSun" w:cs="Tahoma"/>
        <w:b/>
        <w:sz w:val="15"/>
        <w:szCs w:val="22"/>
        <w:lang w:val="fr-CH" w:eastAsia="zh-CN"/>
      </w:rPr>
      <w:tag w:val="E_Company"/>
      <w:id w:val="1268659294"/>
    </w:sdtPr>
    <w:sdtContent>
      <w:p w14:paraId="6C9EBA4A" w14:textId="339FCEBB" w:rsidR="00990BFB" w:rsidRPr="00990BFB" w:rsidRDefault="00990BFB" w:rsidP="00990BFB">
        <w:pPr>
          <w:spacing w:line="200" w:lineRule="atLeast"/>
          <w:rPr>
            <w:rFonts w:eastAsia="SimSun" w:cs="Tahoma"/>
            <w:b/>
            <w:sz w:val="15"/>
            <w:szCs w:val="22"/>
            <w:lang w:val="fr-CH" w:eastAsia="zh-CN"/>
          </w:rPr>
        </w:pPr>
        <w:r w:rsidRPr="00990BFB">
          <w:rPr>
            <w:rFonts w:eastAsia="SimSun" w:cs="Tahoma"/>
            <w:b/>
            <w:sz w:val="15"/>
            <w:szCs w:val="22"/>
            <w:lang w:val="fr-CH" w:eastAsia="zh-CN"/>
          </w:rPr>
          <w:t xml:space="preserve">Bobst </w:t>
        </w:r>
        <w:r w:rsidR="00E30F10">
          <w:rPr>
            <w:rFonts w:eastAsia="SimSun" w:cs="Tahoma"/>
            <w:b/>
            <w:sz w:val="15"/>
            <w:szCs w:val="22"/>
            <w:lang w:val="fr-CH" w:eastAsia="zh-CN"/>
          </w:rPr>
          <w:t>Group</w:t>
        </w:r>
        <w:r w:rsidRPr="00990BFB">
          <w:rPr>
            <w:rFonts w:eastAsia="SimSun" w:cs="Tahoma"/>
            <w:b/>
            <w:sz w:val="15"/>
            <w:szCs w:val="22"/>
            <w:lang w:val="fr-CH" w:eastAsia="zh-CN"/>
          </w:rPr>
          <w:t xml:space="preserve"> SA</w:t>
        </w:r>
      </w:p>
    </w:sdtContent>
  </w:sdt>
  <w:sdt>
    <w:sdtPr>
      <w:rPr>
        <w:rFonts w:eastAsia="SimSun" w:cs="Tahoma"/>
        <w:sz w:val="14"/>
        <w:szCs w:val="22"/>
        <w:lang w:val="fr-CH" w:eastAsia="zh-CN"/>
      </w:rPr>
      <w:tag w:val="M_LegalFooter"/>
      <w:id w:val="1147705221"/>
    </w:sdtPr>
    <w:sdtContent>
      <w:p w14:paraId="205D9F6C" w14:textId="77777777" w:rsidR="00990BFB" w:rsidRPr="00990BFB" w:rsidRDefault="00990BFB" w:rsidP="00990BFB">
        <w:pPr>
          <w:spacing w:line="200" w:lineRule="atLeast"/>
          <w:rPr>
            <w:rFonts w:eastAsia="SimSun" w:cs="Tahoma"/>
            <w:sz w:val="14"/>
            <w:szCs w:val="22"/>
            <w:lang w:val="fr-CH" w:eastAsia="zh-CN"/>
          </w:rPr>
        </w:pPr>
        <w:r w:rsidRPr="00990BFB">
          <w:rPr>
            <w:rFonts w:eastAsia="SimSun" w:cs="Tahoma"/>
            <w:sz w:val="14"/>
            <w:szCs w:val="22"/>
            <w:lang w:val="fr-CH" w:eastAsia="zh-CN"/>
          </w:rPr>
          <w:t xml:space="preserve">PO Box | CH-1001 Lausanne | </w:t>
        </w:r>
        <w:proofErr w:type="spellStart"/>
        <w:r w:rsidRPr="00990BFB">
          <w:rPr>
            <w:rFonts w:eastAsia="SimSun" w:cs="Tahoma"/>
            <w:sz w:val="14"/>
            <w:szCs w:val="22"/>
            <w:lang w:val="fr-CH" w:eastAsia="zh-CN"/>
          </w:rPr>
          <w:t>Switzerland</w:t>
        </w:r>
        <w:proofErr w:type="spellEnd"/>
        <w:r w:rsidRPr="00990BFB">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F4D77" w14:textId="77777777" w:rsidR="00F36CF1" w:rsidRPr="00BA155B" w:rsidRDefault="000B7CE1" w:rsidP="00F36CF1">
    <w:pPr>
      <w:pStyle w:val="LegalFooter"/>
    </w:pPr>
    <w:r>
      <w:fldChar w:fldCharType="begin"/>
    </w:r>
    <w:r w:rsidRPr="00280DC9">
      <w:rPr>
        <w:lang w:val="fr-BE"/>
      </w:rPr>
      <w:instrText xml:space="preserve"> FILENAME   \* MERGEFORMAT </w:instrText>
    </w:r>
    <w:r>
      <w:fldChar w:fldCharType="separate"/>
    </w:r>
    <w:r w:rsidR="008A6629" w:rsidRPr="00BA155B">
      <w:rPr>
        <w:noProof/>
      </w:rPr>
      <w:t>Dokument1</w:t>
    </w:r>
    <w:r>
      <w:rPr>
        <w:noProof/>
      </w:rPr>
      <w:fldChar w:fldCharType="end"/>
    </w:r>
    <w:r w:rsidR="00F36CF1" w:rsidRPr="00BA155B">
      <w:t xml:space="preserve"> | </w:t>
    </w:r>
    <w:sdt>
      <w:sdtPr>
        <w:tag w:val="T_Page"/>
        <w:id w:val="209380030"/>
      </w:sdtPr>
      <w:sdtContent>
        <w:r w:rsidR="004C28DE" w:rsidRPr="00BA155B">
          <w:t>Page</w:t>
        </w:r>
      </w:sdtContent>
    </w:sdt>
    <w:r w:rsidR="00F36CF1" w:rsidRPr="00BA155B">
      <w:t xml:space="preserve"> </w:t>
    </w:r>
    <w:r w:rsidR="00F36CF1" w:rsidRPr="004C28DE">
      <w:fldChar w:fldCharType="begin"/>
    </w:r>
    <w:r w:rsidR="00F36CF1" w:rsidRPr="00BA155B">
      <w:instrText xml:space="preserve"> PAGE   \* MERGEFORMAT </w:instrText>
    </w:r>
    <w:r w:rsidR="00F36CF1" w:rsidRPr="004C28DE">
      <w:fldChar w:fldCharType="separate"/>
    </w:r>
    <w:r w:rsidR="00F961AB">
      <w:rPr>
        <w:noProof/>
      </w:rPr>
      <w:t>1</w:t>
    </w:r>
    <w:r w:rsidR="00F36CF1" w:rsidRPr="004C28DE">
      <w:fldChar w:fldCharType="end"/>
    </w:r>
    <w:r w:rsidR="00F36CF1" w:rsidRPr="00BA155B">
      <w:t xml:space="preserve"> </w:t>
    </w:r>
    <w:sdt>
      <w:sdtPr>
        <w:tag w:val="T_PageOf"/>
        <w:id w:val="232359844"/>
      </w:sdtPr>
      <w:sdtContent>
        <w:r w:rsidR="004C28DE" w:rsidRPr="00BA155B">
          <w:t>of</w:t>
        </w:r>
      </w:sdtContent>
    </w:sdt>
    <w:r w:rsidR="00F36CF1" w:rsidRPr="00BA155B">
      <w:t xml:space="preserve"> </w:t>
    </w:r>
    <w:r>
      <w:fldChar w:fldCharType="begin"/>
    </w:r>
    <w:r w:rsidRPr="00BA155B">
      <w:instrText xml:space="preserve"> NUMPAGES   \* MERGEFORMAT </w:instrText>
    </w:r>
    <w:r>
      <w:fldChar w:fldCharType="separate"/>
    </w:r>
    <w:r w:rsidR="00F961AB">
      <w:rPr>
        <w:noProof/>
      </w:rPr>
      <w:t>1</w:t>
    </w:r>
    <w:r>
      <w:rPr>
        <w:noProof/>
      </w:rPr>
      <w:fldChar w:fldCharType="end"/>
    </w:r>
  </w:p>
  <w:sdt>
    <w:sdtPr>
      <w:tag w:val="E_Company"/>
      <w:id w:val="-144983231"/>
    </w:sdtPr>
    <w:sdtContent>
      <w:p w14:paraId="30EB9E2E" w14:textId="77777777" w:rsidR="00F36CF1" w:rsidRPr="00BA155B" w:rsidRDefault="004C28DE" w:rsidP="00F36CF1">
        <w:pPr>
          <w:pStyle w:val="LegalFooter1"/>
        </w:pPr>
        <w:r w:rsidRPr="00BA155B">
          <w:t>Bobst Mex SA</w:t>
        </w:r>
      </w:p>
    </w:sdtContent>
  </w:sdt>
  <w:sdt>
    <w:sdtPr>
      <w:tag w:val="M_LegalFooter"/>
      <w:id w:val="188571317"/>
    </w:sdtPr>
    <w:sdtContent>
      <w:p w14:paraId="5A201D48" w14:textId="77777777" w:rsidR="00F36CF1" w:rsidRPr="00BA155B" w:rsidRDefault="004C28DE" w:rsidP="00F36CF1">
        <w:pPr>
          <w:pStyle w:val="LegalFooter2"/>
        </w:pPr>
        <w:r w:rsidRPr="00BA155B">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A99D4D" w14:textId="77777777" w:rsidR="005A51C0" w:rsidRDefault="005A51C0" w:rsidP="00BB5BE9">
      <w:pPr>
        <w:spacing w:line="240" w:lineRule="auto"/>
      </w:pPr>
      <w:r>
        <w:separator/>
      </w:r>
    </w:p>
  </w:footnote>
  <w:footnote w:type="continuationSeparator" w:id="0">
    <w:p w14:paraId="661667F6" w14:textId="77777777" w:rsidR="005A51C0" w:rsidRDefault="005A51C0" w:rsidP="00BB5BE9">
      <w:pPr>
        <w:spacing w:line="240" w:lineRule="auto"/>
      </w:pPr>
      <w:r>
        <w:continuationSeparator/>
      </w:r>
    </w:p>
  </w:footnote>
  <w:footnote w:id="1">
    <w:p w14:paraId="7ED4D4BD" w14:textId="4D202757" w:rsidR="00E1581B" w:rsidRPr="00E1581B" w:rsidRDefault="00E1581B">
      <w:pPr>
        <w:pStyle w:val="FootnoteText"/>
        <w:rPr>
          <w:lang w:val="nl-BE"/>
        </w:rPr>
      </w:pPr>
      <w:r>
        <w:rPr>
          <w:rStyle w:val="FootnoteReference"/>
        </w:rPr>
        <w:footnoteRef/>
      </w:r>
      <w:r>
        <w:t xml:space="preserve"> </w:t>
      </w:r>
      <w:bookmarkStart w:id="0" w:name="_Hlk164610934"/>
      <w:r w:rsidRPr="00770315">
        <w:rPr>
          <w:rFonts w:ascii="Arial" w:hAnsi="Arial" w:cs="Arial"/>
          <w:sz w:val="18"/>
          <w:szCs w:val="18"/>
        </w:rPr>
        <w:t>https://www.ellenmacarthurfoundation.org/news/now-live-the-global-commitment-five-years-in-paper</w:t>
      </w:r>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1754F" w14:textId="77777777" w:rsidR="00BB5BE9" w:rsidRPr="004C28DE" w:rsidRDefault="00000000" w:rsidP="00BB5BE9">
    <w:pPr>
      <w:pStyle w:val="Header"/>
    </w:pPr>
    <w:sdt>
      <w:sdtPr>
        <w:tag w:val="X_StaticLogo"/>
        <w:id w:val="-1429885881"/>
      </w:sdtPr>
      <w:sdtContent>
        <w:r w:rsidR="00165731" w:rsidRPr="004C28DE">
          <w:rPr>
            <w:noProof/>
            <w:lang w:val="nl-BE" w:eastAsia="zh-TW"/>
          </w:rPr>
          <w:drawing>
            <wp:inline distT="0" distB="0" distL="0" distR="0" wp14:anchorId="31A8B6B0" wp14:editId="30754605">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7F0FE" w14:textId="77777777" w:rsidR="00F36CF1" w:rsidRPr="004C28DE" w:rsidRDefault="00000000" w:rsidP="00DB1DC2">
    <w:pPr>
      <w:pStyle w:val="Header"/>
    </w:pPr>
    <w:sdt>
      <w:sdtPr>
        <w:tag w:val="X_StaticLogo"/>
        <w:id w:val="1410575528"/>
      </w:sdtPr>
      <w:sdtContent>
        <w:r w:rsidR="00DB1DC2" w:rsidRPr="004C28DE">
          <w:rPr>
            <w:noProof/>
            <w:lang w:val="nl-BE" w:eastAsia="zh-TW"/>
          </w:rPr>
          <w:drawing>
            <wp:inline distT="0" distB="0" distL="0" distR="0" wp14:anchorId="1E0BFD9E" wp14:editId="4D0D5B08">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EBC0C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81C0F3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53C0E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D1066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DA42DD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D8E4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E89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B4E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16AC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F0B9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5E5103"/>
    <w:multiLevelType w:val="multilevel"/>
    <w:tmpl w:val="6E00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112708"/>
    <w:multiLevelType w:val="hybridMultilevel"/>
    <w:tmpl w:val="54909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CB0939"/>
    <w:multiLevelType w:val="multilevel"/>
    <w:tmpl w:val="0756E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2D320D0"/>
    <w:multiLevelType w:val="hybridMultilevel"/>
    <w:tmpl w:val="9580E54A"/>
    <w:lvl w:ilvl="0" w:tplc="264C7E74">
      <w:numFmt w:val="bullet"/>
      <w:lvlText w:val="-"/>
      <w:lvlJc w:val="left"/>
      <w:pPr>
        <w:ind w:left="720" w:hanging="360"/>
      </w:pPr>
      <w:rPr>
        <w:rFonts w:ascii="Arial" w:eastAsiaTheme="minorEastAsia" w:hAnsi="Arial" w:cs="Arial" w:hint="default"/>
        <w:color w:val="1F497D"/>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9660B84"/>
    <w:multiLevelType w:val="hybridMultilevel"/>
    <w:tmpl w:val="E64A6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3679282">
    <w:abstractNumId w:val="9"/>
  </w:num>
  <w:num w:numId="2" w16cid:durableId="1329750570">
    <w:abstractNumId w:val="7"/>
  </w:num>
  <w:num w:numId="3" w16cid:durableId="1838299416">
    <w:abstractNumId w:val="6"/>
  </w:num>
  <w:num w:numId="4" w16cid:durableId="2039620557">
    <w:abstractNumId w:val="5"/>
  </w:num>
  <w:num w:numId="5" w16cid:durableId="2110002445">
    <w:abstractNumId w:val="4"/>
  </w:num>
  <w:num w:numId="6" w16cid:durableId="1620985710">
    <w:abstractNumId w:val="8"/>
  </w:num>
  <w:num w:numId="7" w16cid:durableId="752165347">
    <w:abstractNumId w:val="3"/>
  </w:num>
  <w:num w:numId="8" w16cid:durableId="1421944357">
    <w:abstractNumId w:val="2"/>
  </w:num>
  <w:num w:numId="9" w16cid:durableId="1424296677">
    <w:abstractNumId w:val="1"/>
  </w:num>
  <w:num w:numId="10" w16cid:durableId="1946115144">
    <w:abstractNumId w:val="0"/>
  </w:num>
  <w:num w:numId="11" w16cid:durableId="925460302">
    <w:abstractNumId w:val="13"/>
  </w:num>
  <w:num w:numId="12" w16cid:durableId="635336788">
    <w:abstractNumId w:val="14"/>
  </w:num>
  <w:num w:numId="13" w16cid:durableId="1217163480">
    <w:abstractNumId w:val="11"/>
  </w:num>
  <w:num w:numId="14" w16cid:durableId="279997805">
    <w:abstractNumId w:val="10"/>
  </w:num>
  <w:num w:numId="15" w16cid:durableId="5812555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FR" w:vendorID="64" w:dllVersion="0" w:nlCheck="1" w:checkStyle="0"/>
  <w:activeWritingStyle w:appName="MSWord" w:lang="en-GB"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fr-BE" w:vendorID="64" w:dllVersion="0"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629"/>
    <w:rsid w:val="00015659"/>
    <w:rsid w:val="000200EC"/>
    <w:rsid w:val="0002381F"/>
    <w:rsid w:val="00043F57"/>
    <w:rsid w:val="000B7CE1"/>
    <w:rsid w:val="00103DF2"/>
    <w:rsid w:val="00122852"/>
    <w:rsid w:val="0012287C"/>
    <w:rsid w:val="00162ACB"/>
    <w:rsid w:val="00162F04"/>
    <w:rsid w:val="00165731"/>
    <w:rsid w:val="00185617"/>
    <w:rsid w:val="00193DE7"/>
    <w:rsid w:val="001978E2"/>
    <w:rsid w:val="001B00E3"/>
    <w:rsid w:val="001B2225"/>
    <w:rsid w:val="001B4282"/>
    <w:rsid w:val="0027064C"/>
    <w:rsid w:val="00280DC9"/>
    <w:rsid w:val="0029094B"/>
    <w:rsid w:val="003F1F32"/>
    <w:rsid w:val="00406778"/>
    <w:rsid w:val="00441257"/>
    <w:rsid w:val="00441D37"/>
    <w:rsid w:val="004701B5"/>
    <w:rsid w:val="004711C7"/>
    <w:rsid w:val="00497781"/>
    <w:rsid w:val="004C2489"/>
    <w:rsid w:val="004C28DE"/>
    <w:rsid w:val="004F3549"/>
    <w:rsid w:val="00540DC4"/>
    <w:rsid w:val="00546823"/>
    <w:rsid w:val="005A48B2"/>
    <w:rsid w:val="005A51C0"/>
    <w:rsid w:val="005C7A5F"/>
    <w:rsid w:val="00606729"/>
    <w:rsid w:val="00607A8B"/>
    <w:rsid w:val="0064617D"/>
    <w:rsid w:val="006619E8"/>
    <w:rsid w:val="00672351"/>
    <w:rsid w:val="006A1224"/>
    <w:rsid w:val="006A45F6"/>
    <w:rsid w:val="006E0625"/>
    <w:rsid w:val="007054D8"/>
    <w:rsid w:val="00744CD0"/>
    <w:rsid w:val="0074688B"/>
    <w:rsid w:val="007D2FE3"/>
    <w:rsid w:val="007E6A57"/>
    <w:rsid w:val="0081574B"/>
    <w:rsid w:val="008475F1"/>
    <w:rsid w:val="00872A48"/>
    <w:rsid w:val="008A477E"/>
    <w:rsid w:val="008A6629"/>
    <w:rsid w:val="008B5EF4"/>
    <w:rsid w:val="008D353F"/>
    <w:rsid w:val="008E49BA"/>
    <w:rsid w:val="008E4DAA"/>
    <w:rsid w:val="00923BF4"/>
    <w:rsid w:val="00990BFB"/>
    <w:rsid w:val="009A0420"/>
    <w:rsid w:val="009A285D"/>
    <w:rsid w:val="00A131E9"/>
    <w:rsid w:val="00A13434"/>
    <w:rsid w:val="00AB644E"/>
    <w:rsid w:val="00B073A5"/>
    <w:rsid w:val="00B8097D"/>
    <w:rsid w:val="00BA155B"/>
    <w:rsid w:val="00BB5BE9"/>
    <w:rsid w:val="00C20D00"/>
    <w:rsid w:val="00C26C45"/>
    <w:rsid w:val="00C365C9"/>
    <w:rsid w:val="00C90EAA"/>
    <w:rsid w:val="00CC7F9D"/>
    <w:rsid w:val="00D97770"/>
    <w:rsid w:val="00DB1DC2"/>
    <w:rsid w:val="00DE5DD2"/>
    <w:rsid w:val="00DF7B45"/>
    <w:rsid w:val="00E1581B"/>
    <w:rsid w:val="00E2330A"/>
    <w:rsid w:val="00E30F10"/>
    <w:rsid w:val="00E542C8"/>
    <w:rsid w:val="00EE31B1"/>
    <w:rsid w:val="00F03D8B"/>
    <w:rsid w:val="00F36CF1"/>
    <w:rsid w:val="00F80BE3"/>
    <w:rsid w:val="00F92EA2"/>
    <w:rsid w:val="00F961AB"/>
    <w:rsid w:val="00FB72F4"/>
    <w:rsid w:val="00FC4C5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EAA6B6"/>
  <w15:docId w15:val="{73962128-2680-4234-B541-8548C75F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8DE"/>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4C28DE"/>
    <w:rPr>
      <w:i/>
      <w:iCs/>
    </w:rPr>
  </w:style>
  <w:style w:type="character" w:styleId="HTMLAcronym">
    <w:name w:val="HTML Acronym"/>
    <w:basedOn w:val="DefaultParagraphFont"/>
    <w:uiPriority w:val="99"/>
    <w:semiHidden/>
    <w:unhideWhenUsed/>
    <w:rsid w:val="004C28DE"/>
  </w:style>
  <w:style w:type="paragraph" w:styleId="EnvelopeAddress">
    <w:name w:val="envelope address"/>
    <w:basedOn w:val="Normal"/>
    <w:uiPriority w:val="99"/>
    <w:semiHidden/>
    <w:unhideWhenUsed/>
    <w:rsid w:val="004C28DE"/>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4C28DE"/>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4C28DE"/>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4C28DE"/>
    <w:rPr>
      <w:i/>
      <w:iCs/>
      <w:sz w:val="19"/>
      <w:lang w:val="fr-CH"/>
    </w:rPr>
  </w:style>
  <w:style w:type="character" w:styleId="EndnoteReference">
    <w:name w:val="endnote reference"/>
    <w:basedOn w:val="DefaultParagraphFont"/>
    <w:uiPriority w:val="99"/>
    <w:semiHidden/>
    <w:unhideWhenUsed/>
    <w:rsid w:val="004C28DE"/>
    <w:rPr>
      <w:vertAlign w:val="superscript"/>
    </w:rPr>
  </w:style>
  <w:style w:type="character" w:styleId="FootnoteReference">
    <w:name w:val="footnote reference"/>
    <w:basedOn w:val="DefaultParagraphFont"/>
    <w:uiPriority w:val="99"/>
    <w:semiHidden/>
    <w:unhideWhenUsed/>
    <w:rsid w:val="004C28DE"/>
    <w:rPr>
      <w:vertAlign w:val="superscript"/>
    </w:rPr>
  </w:style>
  <w:style w:type="paragraph" w:styleId="Bibliography">
    <w:name w:val="Bibliography"/>
    <w:basedOn w:val="Normal"/>
    <w:next w:val="Normal"/>
    <w:uiPriority w:val="37"/>
    <w:semiHidden/>
    <w:unhideWhenUsed/>
    <w:rsid w:val="004C28DE"/>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4C28DE"/>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4C28DE"/>
    <w:rPr>
      <w:i/>
      <w:iCs/>
      <w:color w:val="818181" w:themeColor="text1" w:themeTint="BF"/>
      <w:sz w:val="19"/>
      <w:lang w:val="fr-CH"/>
    </w:rPr>
  </w:style>
  <w:style w:type="character" w:styleId="HTMLCite">
    <w:name w:val="HTML Cite"/>
    <w:basedOn w:val="DefaultParagraphFont"/>
    <w:uiPriority w:val="99"/>
    <w:semiHidden/>
    <w:unhideWhenUsed/>
    <w:rsid w:val="004C28DE"/>
    <w:rPr>
      <w:i/>
      <w:iCs/>
    </w:rPr>
  </w:style>
  <w:style w:type="character" w:styleId="HTMLKeyboard">
    <w:name w:val="HTML Keyboard"/>
    <w:basedOn w:val="DefaultParagraphFont"/>
    <w:uiPriority w:val="99"/>
    <w:semiHidden/>
    <w:unhideWhenUsed/>
    <w:rsid w:val="004C28DE"/>
    <w:rPr>
      <w:rFonts w:ascii="Consolas" w:hAnsi="Consolas" w:cs="Consolas"/>
      <w:sz w:val="20"/>
      <w:szCs w:val="20"/>
    </w:rPr>
  </w:style>
  <w:style w:type="character" w:styleId="HTMLCode">
    <w:name w:val="HTML Code"/>
    <w:basedOn w:val="DefaultParagraphFont"/>
    <w:uiPriority w:val="99"/>
    <w:semiHidden/>
    <w:unhideWhenUsed/>
    <w:rsid w:val="004C28DE"/>
    <w:rPr>
      <w:rFonts w:ascii="Consolas" w:hAnsi="Consolas" w:cs="Consolas"/>
      <w:sz w:val="20"/>
      <w:szCs w:val="20"/>
    </w:rPr>
  </w:style>
  <w:style w:type="table" w:styleId="TableColumns1">
    <w:name w:val="Table Columns 1"/>
    <w:basedOn w:val="TableNormal"/>
    <w:uiPriority w:val="99"/>
    <w:semiHidden/>
    <w:unhideWhenUsed/>
    <w:rsid w:val="004C28DE"/>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C28DE"/>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C28DE"/>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C28DE"/>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C28DE"/>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4C28DE"/>
    <w:rPr>
      <w:sz w:val="20"/>
      <w:szCs w:val="20"/>
      <w:lang w:val="fr-CH"/>
    </w:rPr>
  </w:style>
  <w:style w:type="paragraph" w:styleId="BodyText">
    <w:name w:val="Body Text"/>
    <w:basedOn w:val="Normal"/>
    <w:link w:val="BodyTextChar"/>
    <w:uiPriority w:val="99"/>
    <w:semiHidden/>
    <w:unhideWhenUsed/>
    <w:rsid w:val="004C28DE"/>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4C28DE"/>
    <w:rPr>
      <w:sz w:val="19"/>
      <w:lang w:val="fr-CH"/>
    </w:rPr>
  </w:style>
  <w:style w:type="paragraph" w:styleId="BodyText2">
    <w:name w:val="Body Text 2"/>
    <w:basedOn w:val="Normal"/>
    <w:link w:val="BodyText2Char"/>
    <w:uiPriority w:val="99"/>
    <w:semiHidden/>
    <w:unhideWhenUsed/>
    <w:rsid w:val="004C28DE"/>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4C28DE"/>
    <w:rPr>
      <w:sz w:val="19"/>
      <w:lang w:val="fr-CH"/>
    </w:rPr>
  </w:style>
  <w:style w:type="paragraph" w:styleId="BodyText3">
    <w:name w:val="Body Text 3"/>
    <w:basedOn w:val="Normal"/>
    <w:link w:val="BodyText3Char"/>
    <w:uiPriority w:val="99"/>
    <w:semiHidden/>
    <w:unhideWhenUsed/>
    <w:rsid w:val="004C28DE"/>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4C28DE"/>
    <w:rPr>
      <w:sz w:val="16"/>
      <w:szCs w:val="16"/>
      <w:lang w:val="fr-CH"/>
    </w:rPr>
  </w:style>
  <w:style w:type="paragraph" w:styleId="Date">
    <w:name w:val="Date"/>
    <w:basedOn w:val="Normal"/>
    <w:next w:val="Normal"/>
    <w:link w:val="DateChar"/>
    <w:uiPriority w:val="99"/>
    <w:semiHidden/>
    <w:unhideWhenUsed/>
    <w:rsid w:val="004C28DE"/>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4C28DE"/>
    <w:rPr>
      <w:sz w:val="19"/>
      <w:lang w:val="fr-CH"/>
    </w:rPr>
  </w:style>
  <w:style w:type="character" w:styleId="HTMLDefinition">
    <w:name w:val="HTML Definition"/>
    <w:basedOn w:val="DefaultParagraphFont"/>
    <w:uiPriority w:val="99"/>
    <w:semiHidden/>
    <w:unhideWhenUsed/>
    <w:rsid w:val="004C28DE"/>
    <w:rPr>
      <w:i/>
      <w:iCs/>
    </w:rPr>
  </w:style>
  <w:style w:type="table" w:styleId="Table3Deffects1">
    <w:name w:val="Table 3D effects 1"/>
    <w:basedOn w:val="TableNormal"/>
    <w:uiPriority w:val="99"/>
    <w:semiHidden/>
    <w:unhideWhenUsed/>
    <w:rsid w:val="004C28DE"/>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C28DE"/>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C28DE"/>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4C28DE"/>
    <w:rPr>
      <w:b/>
      <w:bCs/>
    </w:rPr>
  </w:style>
  <w:style w:type="character" w:styleId="SubtleEmphasis">
    <w:name w:val="Subtle Emphasis"/>
    <w:basedOn w:val="DefaultParagraphFont"/>
    <w:uiPriority w:val="19"/>
    <w:rsid w:val="004C28DE"/>
    <w:rPr>
      <w:i/>
      <w:iCs/>
      <w:color w:val="818181" w:themeColor="text1" w:themeTint="BF"/>
    </w:rPr>
  </w:style>
  <w:style w:type="paragraph" w:styleId="MessageHeader">
    <w:name w:val="Message Header"/>
    <w:basedOn w:val="Normal"/>
    <w:link w:val="MessageHeaderChar"/>
    <w:uiPriority w:val="99"/>
    <w:semiHidden/>
    <w:unhideWhenUsed/>
    <w:rsid w:val="004C28D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4C28DE"/>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4C28DE"/>
    <w:rPr>
      <w:rFonts w:ascii="Consolas" w:hAnsi="Consolas" w:cs="Consolas"/>
      <w:sz w:val="24"/>
      <w:szCs w:val="24"/>
    </w:rPr>
  </w:style>
  <w:style w:type="paragraph" w:styleId="DocumentMap">
    <w:name w:val="Document Map"/>
    <w:basedOn w:val="Normal"/>
    <w:link w:val="DocumentMapChar"/>
    <w:uiPriority w:val="99"/>
    <w:semiHidden/>
    <w:unhideWhenUsed/>
    <w:rsid w:val="004C28DE"/>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4C28DE"/>
    <w:rPr>
      <w:rFonts w:ascii="Segoe UI" w:hAnsi="Segoe UI" w:cs="Segoe UI"/>
      <w:sz w:val="16"/>
      <w:szCs w:val="16"/>
      <w:lang w:val="fr-CH"/>
    </w:rPr>
  </w:style>
  <w:style w:type="paragraph" w:styleId="Closing">
    <w:name w:val="Closing"/>
    <w:basedOn w:val="Normal"/>
    <w:link w:val="Closing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4C28DE"/>
    <w:rPr>
      <w:sz w:val="19"/>
      <w:lang w:val="fr-CH"/>
    </w:rPr>
  </w:style>
  <w:style w:type="table" w:styleId="LightGrid">
    <w:name w:val="Light Grid"/>
    <w:basedOn w:val="TableNormal"/>
    <w:uiPriority w:val="62"/>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C28DE"/>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C28DE"/>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C28DE"/>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C28DE"/>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C28DE"/>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C28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4C28DE"/>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4C28DE"/>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4C28DE"/>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4C28DE"/>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4C28DE"/>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4C28DE"/>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4C28DE"/>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4C28DE"/>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4C28DE"/>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unhideWhenUsed/>
    <w:rsid w:val="004C28DE"/>
    <w:rPr>
      <w:color w:val="265896" w:themeColor="hyperlink"/>
      <w:u w:val="single"/>
    </w:rPr>
  </w:style>
  <w:style w:type="character" w:styleId="FollowedHyperlink">
    <w:name w:val="FollowedHyperlink"/>
    <w:basedOn w:val="DefaultParagraphFont"/>
    <w:uiPriority w:val="99"/>
    <w:semiHidden/>
    <w:unhideWhenUsed/>
    <w:rsid w:val="004C28DE"/>
    <w:rPr>
      <w:color w:val="868686" w:themeColor="followedHyperlink"/>
      <w:u w:val="single"/>
    </w:rPr>
  </w:style>
  <w:style w:type="paragraph" w:styleId="List">
    <w:name w:val="List"/>
    <w:basedOn w:val="Normal"/>
    <w:uiPriority w:val="99"/>
    <w:semiHidden/>
    <w:unhideWhenUsed/>
    <w:rsid w:val="004C28DE"/>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4C28DE"/>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4C28DE"/>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4C28DE"/>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4C28DE"/>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4C28DE"/>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4C28DE"/>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4C28DE"/>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4C28DE"/>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4C28DE"/>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4C28DE"/>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4C28DE"/>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4C28DE"/>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4C28DE"/>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4C28DE"/>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4C28DE"/>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4C28DE"/>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4C28DE"/>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4C28DE"/>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4C28DE"/>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4C28DE"/>
    <w:rPr>
      <w:rFonts w:ascii="Consolas" w:hAnsi="Consolas" w:cs="Consolas"/>
      <w:sz w:val="20"/>
      <w:szCs w:val="20"/>
    </w:rPr>
  </w:style>
  <w:style w:type="character" w:styleId="CommentReference">
    <w:name w:val="annotation reference"/>
    <w:basedOn w:val="DefaultParagraphFont"/>
    <w:uiPriority w:val="99"/>
    <w:semiHidden/>
    <w:unhideWhenUsed/>
    <w:rsid w:val="004C28DE"/>
    <w:rPr>
      <w:sz w:val="16"/>
      <w:szCs w:val="16"/>
    </w:rPr>
  </w:style>
  <w:style w:type="paragraph" w:styleId="NormalWeb">
    <w:name w:val="Normal (Web)"/>
    <w:basedOn w:val="Normal"/>
    <w:uiPriority w:val="99"/>
    <w:semiHidden/>
    <w:unhideWhenUsed/>
    <w:rsid w:val="004C28DE"/>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4C28DE"/>
    <w:rPr>
      <w:sz w:val="20"/>
      <w:szCs w:val="20"/>
      <w:lang w:val="fr-CH"/>
    </w:rPr>
  </w:style>
  <w:style w:type="paragraph" w:styleId="EndnoteText">
    <w:name w:val="endnote text"/>
    <w:basedOn w:val="Normal"/>
    <w:link w:val="End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4C28DE"/>
    <w:rPr>
      <w:sz w:val="20"/>
      <w:szCs w:val="20"/>
      <w:lang w:val="fr-CH"/>
    </w:rPr>
  </w:style>
  <w:style w:type="character" w:styleId="LineNumber">
    <w:name w:val="line number"/>
    <w:basedOn w:val="DefaultParagraphFont"/>
    <w:uiPriority w:val="99"/>
    <w:semiHidden/>
    <w:unhideWhenUsed/>
    <w:rsid w:val="004C28DE"/>
  </w:style>
  <w:style w:type="character" w:styleId="PageNumber">
    <w:name w:val="page number"/>
    <w:basedOn w:val="DefaultParagraphFont"/>
    <w:uiPriority w:val="99"/>
    <w:semiHidden/>
    <w:unhideWhenUsed/>
    <w:rsid w:val="004C28DE"/>
  </w:style>
  <w:style w:type="paragraph" w:styleId="CommentSubject">
    <w:name w:val="annotation subject"/>
    <w:basedOn w:val="CommentText"/>
    <w:next w:val="CommentText"/>
    <w:link w:val="CommentSubjectChar"/>
    <w:uiPriority w:val="99"/>
    <w:semiHidden/>
    <w:unhideWhenUsed/>
    <w:rsid w:val="004C28DE"/>
    <w:rPr>
      <w:b/>
      <w:bCs/>
    </w:rPr>
  </w:style>
  <w:style w:type="character" w:customStyle="1" w:styleId="CommentSubjectChar">
    <w:name w:val="Comment Subject Char"/>
    <w:basedOn w:val="CommentTextChar"/>
    <w:link w:val="CommentSubject"/>
    <w:uiPriority w:val="99"/>
    <w:semiHidden/>
    <w:rsid w:val="004C28DE"/>
    <w:rPr>
      <w:b/>
      <w:bCs/>
      <w:sz w:val="20"/>
      <w:szCs w:val="20"/>
      <w:lang w:val="fr-CH"/>
    </w:rPr>
  </w:style>
  <w:style w:type="table" w:styleId="LightShading">
    <w:name w:val="Light Shading"/>
    <w:basedOn w:val="TableNormal"/>
    <w:uiPriority w:val="60"/>
    <w:semiHidden/>
    <w:unhideWhenUsed/>
    <w:rsid w:val="004C28DE"/>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4C28DE"/>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4C28DE"/>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4C28DE"/>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4C28DE"/>
    <w:pPr>
      <w:spacing w:after="0"/>
      <w:ind w:firstLine="360"/>
    </w:pPr>
  </w:style>
  <w:style w:type="character" w:customStyle="1" w:styleId="BodyTextFirstIndentChar">
    <w:name w:val="Body Text First Indent Char"/>
    <w:basedOn w:val="BodyTextChar"/>
    <w:link w:val="BodyTextFirstIndent"/>
    <w:uiPriority w:val="99"/>
    <w:semiHidden/>
    <w:rsid w:val="004C28DE"/>
    <w:rPr>
      <w:sz w:val="19"/>
      <w:lang w:val="fr-CH"/>
    </w:rPr>
  </w:style>
  <w:style w:type="paragraph" w:styleId="BodyTextIndent">
    <w:name w:val="Body Text Indent"/>
    <w:basedOn w:val="Normal"/>
    <w:link w:val="BodyTextIndentChar"/>
    <w:uiPriority w:val="99"/>
    <w:semiHidden/>
    <w:unhideWhenUsed/>
    <w:rsid w:val="004C28DE"/>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4C28DE"/>
    <w:rPr>
      <w:sz w:val="19"/>
      <w:lang w:val="fr-CH"/>
    </w:rPr>
  </w:style>
  <w:style w:type="paragraph" w:styleId="BodyTextIndent2">
    <w:name w:val="Body Text Indent 2"/>
    <w:basedOn w:val="Normal"/>
    <w:link w:val="BodyTextIndent2Char"/>
    <w:uiPriority w:val="99"/>
    <w:semiHidden/>
    <w:unhideWhenUsed/>
    <w:rsid w:val="004C28DE"/>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4C28DE"/>
    <w:rPr>
      <w:sz w:val="19"/>
      <w:lang w:val="fr-CH"/>
    </w:rPr>
  </w:style>
  <w:style w:type="paragraph" w:styleId="BodyTextIndent3">
    <w:name w:val="Body Text Indent 3"/>
    <w:basedOn w:val="Normal"/>
    <w:link w:val="BodyTextIndent3Char"/>
    <w:uiPriority w:val="99"/>
    <w:semiHidden/>
    <w:unhideWhenUsed/>
    <w:rsid w:val="004C28DE"/>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4C28DE"/>
    <w:rPr>
      <w:sz w:val="16"/>
      <w:szCs w:val="16"/>
      <w:lang w:val="fr-CH"/>
    </w:rPr>
  </w:style>
  <w:style w:type="paragraph" w:styleId="BodyTextFirstIndent2">
    <w:name w:val="Body Text First Indent 2"/>
    <w:basedOn w:val="BodyTextIndent"/>
    <w:link w:val="BodyTextFirstIndent2Char"/>
    <w:uiPriority w:val="99"/>
    <w:semiHidden/>
    <w:unhideWhenUsed/>
    <w:rsid w:val="004C28DE"/>
    <w:pPr>
      <w:spacing w:after="0"/>
      <w:ind w:left="360" w:firstLine="360"/>
    </w:pPr>
  </w:style>
  <w:style w:type="character" w:customStyle="1" w:styleId="BodyTextFirstIndent2Char">
    <w:name w:val="Body Text First Indent 2 Char"/>
    <w:basedOn w:val="BodyTextIndentChar"/>
    <w:link w:val="BodyTextFirstIndent2"/>
    <w:uiPriority w:val="99"/>
    <w:semiHidden/>
    <w:rsid w:val="004C28DE"/>
    <w:rPr>
      <w:sz w:val="19"/>
      <w:lang w:val="fr-CH"/>
    </w:rPr>
  </w:style>
  <w:style w:type="paragraph" w:styleId="NormalIndent">
    <w:name w:val="Normal Indent"/>
    <w:basedOn w:val="Normal"/>
    <w:uiPriority w:val="99"/>
    <w:semiHidden/>
    <w:unhideWhenUsed/>
    <w:rsid w:val="004C28DE"/>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4C28DE"/>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4C28DE"/>
    <w:rPr>
      <w:sz w:val="19"/>
      <w:lang w:val="fr-CH"/>
    </w:rPr>
  </w:style>
  <w:style w:type="paragraph" w:styleId="NoSpacing">
    <w:name w:val="No Spacing"/>
    <w:uiPriority w:val="1"/>
    <w:rsid w:val="004C28DE"/>
    <w:pPr>
      <w:spacing w:after="0" w:line="240" w:lineRule="auto"/>
    </w:pPr>
    <w:rPr>
      <w:sz w:val="19"/>
      <w:lang w:val="fr-CH"/>
    </w:rPr>
  </w:style>
  <w:style w:type="paragraph" w:styleId="Signature">
    <w:name w:val="Signature"/>
    <w:basedOn w:val="Normal"/>
    <w:link w:val="Signature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4C28DE"/>
    <w:rPr>
      <w:sz w:val="19"/>
      <w:lang w:val="fr-CH"/>
    </w:rPr>
  </w:style>
  <w:style w:type="paragraph" w:styleId="E-mailSignature">
    <w:name w:val="E-mail Signature"/>
    <w:basedOn w:val="Normal"/>
    <w:link w:val="E-mailSignature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4C28DE"/>
    <w:rPr>
      <w:sz w:val="19"/>
      <w:lang w:val="fr-CH"/>
    </w:rPr>
  </w:style>
  <w:style w:type="paragraph" w:styleId="TableofFigures">
    <w:name w:val="table of figures"/>
    <w:basedOn w:val="Normal"/>
    <w:next w:val="Normal"/>
    <w:uiPriority w:val="99"/>
    <w:semiHidden/>
    <w:unhideWhenUsed/>
    <w:rsid w:val="004C28DE"/>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4C28DE"/>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C28DE"/>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C28DE"/>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C28DE"/>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C28DE"/>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C28DE"/>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4C28DE"/>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C28DE"/>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4C28DE"/>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C28DE"/>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C28DE"/>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C28DE"/>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C28DE"/>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C28DE"/>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C28DE"/>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C28DE"/>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4C28DE"/>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4C28DE"/>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4C28DE"/>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4C28DE"/>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4C28DE"/>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4C28DE"/>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4C28DE"/>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C28DE"/>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C28DE"/>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C28DE"/>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4C28DE"/>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4C28DE"/>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4C28DE"/>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4C28DE"/>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4C28DE"/>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4C28DE"/>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4C28DE"/>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4C28DE"/>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4C28DE"/>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4C28DE"/>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4C28DE"/>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4C28DE"/>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4C28DE"/>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4C28DE"/>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C28DE"/>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C28DE"/>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C28DE"/>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4C28DE"/>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C28DE"/>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C28DE"/>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C28DE"/>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C28DE"/>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C28DE"/>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C28DE"/>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4C28DE"/>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C28DE"/>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C28DE"/>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C28DE"/>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4C28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C28DE"/>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4C28DE"/>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C28D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C28D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4C28DE"/>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C28DE"/>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C28DE"/>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4C28DE"/>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4C28DE"/>
    <w:rPr>
      <w:rFonts w:ascii="Consolas" w:hAnsi="Consolas" w:cs="Consolas"/>
      <w:sz w:val="21"/>
      <w:szCs w:val="21"/>
      <w:lang w:val="fr-CH"/>
    </w:rPr>
  </w:style>
  <w:style w:type="paragraph" w:styleId="MacroText">
    <w:name w:val="macro"/>
    <w:link w:val="MacroTextChar"/>
    <w:uiPriority w:val="99"/>
    <w:semiHidden/>
    <w:unhideWhenUsed/>
    <w:rsid w:val="004C28DE"/>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4C28DE"/>
    <w:rPr>
      <w:rFonts w:ascii="Consolas" w:hAnsi="Consolas" w:cs="Consolas"/>
      <w:sz w:val="20"/>
      <w:szCs w:val="20"/>
      <w:lang w:val="fr-CH"/>
    </w:rPr>
  </w:style>
  <w:style w:type="table" w:styleId="TableTheme">
    <w:name w:val="Table Theme"/>
    <w:basedOn w:val="TableNormal"/>
    <w:uiPriority w:val="99"/>
    <w:semiHidden/>
    <w:unhideWhenUsed/>
    <w:rsid w:val="004C28DE"/>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4C28DE"/>
    <w:rPr>
      <w:sz w:val="19"/>
      <w:lang w:val="fr-CH"/>
    </w:rPr>
  </w:style>
  <w:style w:type="character" w:styleId="BookTitle">
    <w:name w:val="Book Title"/>
    <w:basedOn w:val="DefaultParagraphFont"/>
    <w:uiPriority w:val="33"/>
    <w:rsid w:val="004C28DE"/>
    <w:rPr>
      <w:b/>
      <w:bCs/>
      <w:i/>
      <w:iCs/>
      <w:spacing w:val="5"/>
    </w:rPr>
  </w:style>
  <w:style w:type="paragraph" w:styleId="IndexHeading">
    <w:name w:val="index heading"/>
    <w:basedOn w:val="Normal"/>
    <w:next w:val="Index1"/>
    <w:uiPriority w:val="99"/>
    <w:semiHidden/>
    <w:unhideWhenUsed/>
    <w:rsid w:val="004C28DE"/>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4C28DE"/>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4C28DE"/>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4C28DE"/>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4C28DE"/>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4C28DE"/>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4C28DE"/>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4C28DE"/>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4C28DE"/>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4C28DE"/>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4C28DE"/>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4C28DE"/>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4C28DE"/>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4C28DE"/>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4C28DE"/>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4C28DE"/>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4C28DE"/>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4C28DE"/>
    <w:rPr>
      <w:i/>
      <w:iCs/>
    </w:rPr>
  </w:style>
  <w:style w:type="paragraph" w:customStyle="1" w:styleId="paragraph">
    <w:name w:val="paragraph"/>
    <w:basedOn w:val="Normal"/>
    <w:rsid w:val="00C26C45"/>
    <w:pPr>
      <w:spacing w:before="100" w:beforeAutospacing="1" w:after="100" w:afterAutospacing="1" w:line="240" w:lineRule="auto"/>
    </w:pPr>
    <w:rPr>
      <w:rFonts w:ascii="Times New Roman" w:hAnsi="Times New Roman"/>
      <w:sz w:val="24"/>
      <w:lang w:eastAsia="en-GB"/>
    </w:rPr>
  </w:style>
  <w:style w:type="character" w:customStyle="1" w:styleId="normaltextrun">
    <w:name w:val="normaltextrun"/>
    <w:basedOn w:val="DefaultParagraphFont"/>
    <w:rsid w:val="00C26C45"/>
  </w:style>
  <w:style w:type="character" w:customStyle="1" w:styleId="eop">
    <w:name w:val="eop"/>
    <w:basedOn w:val="DefaultParagraphFont"/>
    <w:rsid w:val="00C26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317090">
      <w:bodyDiv w:val="1"/>
      <w:marLeft w:val="0"/>
      <w:marRight w:val="0"/>
      <w:marTop w:val="0"/>
      <w:marBottom w:val="0"/>
      <w:divBdr>
        <w:top w:val="none" w:sz="0" w:space="0" w:color="auto"/>
        <w:left w:val="none" w:sz="0" w:space="0" w:color="auto"/>
        <w:bottom w:val="none" w:sz="0" w:space="0" w:color="auto"/>
        <w:right w:val="none" w:sz="0" w:space="0" w:color="auto"/>
      </w:divBdr>
      <w:divsChild>
        <w:div w:id="127166984">
          <w:marLeft w:val="0"/>
          <w:marRight w:val="0"/>
          <w:marTop w:val="0"/>
          <w:marBottom w:val="0"/>
          <w:divBdr>
            <w:top w:val="none" w:sz="0" w:space="0" w:color="auto"/>
            <w:left w:val="none" w:sz="0" w:space="0" w:color="auto"/>
            <w:bottom w:val="none" w:sz="0" w:space="0" w:color="auto"/>
            <w:right w:val="none" w:sz="0" w:space="0" w:color="auto"/>
          </w:divBdr>
        </w:div>
        <w:div w:id="1281061785">
          <w:marLeft w:val="0"/>
          <w:marRight w:val="0"/>
          <w:marTop w:val="0"/>
          <w:marBottom w:val="0"/>
          <w:divBdr>
            <w:top w:val="none" w:sz="0" w:space="0" w:color="auto"/>
            <w:left w:val="none" w:sz="0" w:space="0" w:color="auto"/>
            <w:bottom w:val="none" w:sz="0" w:space="0" w:color="auto"/>
            <w:right w:val="none" w:sz="0" w:space="0" w:color="auto"/>
          </w:divBdr>
        </w:div>
        <w:div w:id="1711681602">
          <w:marLeft w:val="0"/>
          <w:marRight w:val="0"/>
          <w:marTop w:val="0"/>
          <w:marBottom w:val="0"/>
          <w:divBdr>
            <w:top w:val="none" w:sz="0" w:space="0" w:color="auto"/>
            <w:left w:val="none" w:sz="0" w:space="0" w:color="auto"/>
            <w:bottom w:val="none" w:sz="0" w:space="0" w:color="auto"/>
            <w:right w:val="none" w:sz="0" w:space="0" w:color="auto"/>
          </w:divBdr>
        </w:div>
        <w:div w:id="2005618324">
          <w:marLeft w:val="0"/>
          <w:marRight w:val="0"/>
          <w:marTop w:val="0"/>
          <w:marBottom w:val="0"/>
          <w:divBdr>
            <w:top w:val="none" w:sz="0" w:space="0" w:color="auto"/>
            <w:left w:val="none" w:sz="0" w:space="0" w:color="auto"/>
            <w:bottom w:val="none" w:sz="0" w:space="0" w:color="auto"/>
            <w:right w:val="none" w:sz="0" w:space="0" w:color="auto"/>
          </w:divBdr>
        </w:div>
        <w:div w:id="482894138">
          <w:marLeft w:val="0"/>
          <w:marRight w:val="0"/>
          <w:marTop w:val="0"/>
          <w:marBottom w:val="0"/>
          <w:divBdr>
            <w:top w:val="none" w:sz="0" w:space="0" w:color="auto"/>
            <w:left w:val="none" w:sz="0" w:space="0" w:color="auto"/>
            <w:bottom w:val="none" w:sz="0" w:space="0" w:color="auto"/>
            <w:right w:val="none" w:sz="0" w:space="0" w:color="auto"/>
          </w:divBdr>
        </w:div>
        <w:div w:id="538052619">
          <w:marLeft w:val="0"/>
          <w:marRight w:val="0"/>
          <w:marTop w:val="0"/>
          <w:marBottom w:val="0"/>
          <w:divBdr>
            <w:top w:val="none" w:sz="0" w:space="0" w:color="auto"/>
            <w:left w:val="none" w:sz="0" w:space="0" w:color="auto"/>
            <w:bottom w:val="none" w:sz="0" w:space="0" w:color="auto"/>
            <w:right w:val="none" w:sz="0" w:space="0" w:color="auto"/>
          </w:divBdr>
        </w:div>
        <w:div w:id="173998178">
          <w:marLeft w:val="0"/>
          <w:marRight w:val="0"/>
          <w:marTop w:val="0"/>
          <w:marBottom w:val="0"/>
          <w:divBdr>
            <w:top w:val="none" w:sz="0" w:space="0" w:color="auto"/>
            <w:left w:val="none" w:sz="0" w:space="0" w:color="auto"/>
            <w:bottom w:val="none" w:sz="0" w:space="0" w:color="auto"/>
            <w:right w:val="none" w:sz="0" w:space="0" w:color="auto"/>
          </w:divBdr>
        </w:div>
        <w:div w:id="800223801">
          <w:marLeft w:val="0"/>
          <w:marRight w:val="0"/>
          <w:marTop w:val="0"/>
          <w:marBottom w:val="0"/>
          <w:divBdr>
            <w:top w:val="none" w:sz="0" w:space="0" w:color="auto"/>
            <w:left w:val="none" w:sz="0" w:space="0" w:color="auto"/>
            <w:bottom w:val="none" w:sz="0" w:space="0" w:color="auto"/>
            <w:right w:val="none" w:sz="0" w:space="0" w:color="auto"/>
          </w:divBdr>
        </w:div>
        <w:div w:id="360204985">
          <w:marLeft w:val="0"/>
          <w:marRight w:val="0"/>
          <w:marTop w:val="0"/>
          <w:marBottom w:val="0"/>
          <w:divBdr>
            <w:top w:val="none" w:sz="0" w:space="0" w:color="auto"/>
            <w:left w:val="none" w:sz="0" w:space="0" w:color="auto"/>
            <w:bottom w:val="none" w:sz="0" w:space="0" w:color="auto"/>
            <w:right w:val="none" w:sz="0" w:space="0" w:color="auto"/>
          </w:divBdr>
        </w:div>
        <w:div w:id="652612146">
          <w:marLeft w:val="0"/>
          <w:marRight w:val="0"/>
          <w:marTop w:val="0"/>
          <w:marBottom w:val="0"/>
          <w:divBdr>
            <w:top w:val="none" w:sz="0" w:space="0" w:color="auto"/>
            <w:left w:val="none" w:sz="0" w:space="0" w:color="auto"/>
            <w:bottom w:val="none" w:sz="0" w:space="0" w:color="auto"/>
            <w:right w:val="none" w:sz="0" w:space="0" w:color="auto"/>
          </w:divBdr>
        </w:div>
        <w:div w:id="185604683">
          <w:marLeft w:val="0"/>
          <w:marRight w:val="0"/>
          <w:marTop w:val="0"/>
          <w:marBottom w:val="0"/>
          <w:divBdr>
            <w:top w:val="none" w:sz="0" w:space="0" w:color="auto"/>
            <w:left w:val="none" w:sz="0" w:space="0" w:color="auto"/>
            <w:bottom w:val="none" w:sz="0" w:space="0" w:color="auto"/>
            <w:right w:val="none" w:sz="0" w:space="0" w:color="auto"/>
          </w:divBdr>
        </w:div>
        <w:div w:id="846094773">
          <w:marLeft w:val="0"/>
          <w:marRight w:val="0"/>
          <w:marTop w:val="0"/>
          <w:marBottom w:val="0"/>
          <w:divBdr>
            <w:top w:val="none" w:sz="0" w:space="0" w:color="auto"/>
            <w:left w:val="none" w:sz="0" w:space="0" w:color="auto"/>
            <w:bottom w:val="none" w:sz="0" w:space="0" w:color="auto"/>
            <w:right w:val="none" w:sz="0" w:space="0" w:color="auto"/>
          </w:divBdr>
        </w:div>
        <w:div w:id="1912305375">
          <w:marLeft w:val="0"/>
          <w:marRight w:val="0"/>
          <w:marTop w:val="0"/>
          <w:marBottom w:val="0"/>
          <w:divBdr>
            <w:top w:val="none" w:sz="0" w:space="0" w:color="auto"/>
            <w:left w:val="none" w:sz="0" w:space="0" w:color="auto"/>
            <w:bottom w:val="none" w:sz="0" w:space="0" w:color="auto"/>
            <w:right w:val="none" w:sz="0" w:space="0" w:color="auto"/>
          </w:divBdr>
        </w:div>
        <w:div w:id="1977101810">
          <w:marLeft w:val="0"/>
          <w:marRight w:val="0"/>
          <w:marTop w:val="0"/>
          <w:marBottom w:val="0"/>
          <w:divBdr>
            <w:top w:val="none" w:sz="0" w:space="0" w:color="auto"/>
            <w:left w:val="none" w:sz="0" w:space="0" w:color="auto"/>
            <w:bottom w:val="none" w:sz="0" w:space="0" w:color="auto"/>
            <w:right w:val="none" w:sz="0" w:space="0" w:color="auto"/>
          </w:divBdr>
        </w:div>
        <w:div w:id="822312829">
          <w:marLeft w:val="0"/>
          <w:marRight w:val="0"/>
          <w:marTop w:val="0"/>
          <w:marBottom w:val="0"/>
          <w:divBdr>
            <w:top w:val="none" w:sz="0" w:space="0" w:color="auto"/>
            <w:left w:val="none" w:sz="0" w:space="0" w:color="auto"/>
            <w:bottom w:val="none" w:sz="0" w:space="0" w:color="auto"/>
            <w:right w:val="none" w:sz="0" w:space="0" w:color="auto"/>
          </w:divBdr>
        </w:div>
        <w:div w:id="211575021">
          <w:marLeft w:val="0"/>
          <w:marRight w:val="0"/>
          <w:marTop w:val="0"/>
          <w:marBottom w:val="0"/>
          <w:divBdr>
            <w:top w:val="none" w:sz="0" w:space="0" w:color="auto"/>
            <w:left w:val="none" w:sz="0" w:space="0" w:color="auto"/>
            <w:bottom w:val="none" w:sz="0" w:space="0" w:color="auto"/>
            <w:right w:val="none" w:sz="0" w:space="0" w:color="auto"/>
          </w:divBdr>
        </w:div>
        <w:div w:id="223806757">
          <w:marLeft w:val="0"/>
          <w:marRight w:val="0"/>
          <w:marTop w:val="0"/>
          <w:marBottom w:val="0"/>
          <w:divBdr>
            <w:top w:val="none" w:sz="0" w:space="0" w:color="auto"/>
            <w:left w:val="none" w:sz="0" w:space="0" w:color="auto"/>
            <w:bottom w:val="none" w:sz="0" w:space="0" w:color="auto"/>
            <w:right w:val="none" w:sz="0" w:space="0" w:color="auto"/>
          </w:divBdr>
        </w:div>
        <w:div w:id="1631662965">
          <w:marLeft w:val="0"/>
          <w:marRight w:val="0"/>
          <w:marTop w:val="0"/>
          <w:marBottom w:val="0"/>
          <w:divBdr>
            <w:top w:val="none" w:sz="0" w:space="0" w:color="auto"/>
            <w:left w:val="none" w:sz="0" w:space="0" w:color="auto"/>
            <w:bottom w:val="none" w:sz="0" w:space="0" w:color="auto"/>
            <w:right w:val="none" w:sz="0" w:space="0" w:color="auto"/>
          </w:divBdr>
        </w:div>
        <w:div w:id="867569627">
          <w:marLeft w:val="0"/>
          <w:marRight w:val="0"/>
          <w:marTop w:val="0"/>
          <w:marBottom w:val="0"/>
          <w:divBdr>
            <w:top w:val="none" w:sz="0" w:space="0" w:color="auto"/>
            <w:left w:val="none" w:sz="0" w:space="0" w:color="auto"/>
            <w:bottom w:val="none" w:sz="0" w:space="0" w:color="auto"/>
            <w:right w:val="none" w:sz="0" w:space="0" w:color="auto"/>
          </w:divBdr>
        </w:div>
        <w:div w:id="1423405913">
          <w:marLeft w:val="0"/>
          <w:marRight w:val="0"/>
          <w:marTop w:val="0"/>
          <w:marBottom w:val="0"/>
          <w:divBdr>
            <w:top w:val="none" w:sz="0" w:space="0" w:color="auto"/>
            <w:left w:val="none" w:sz="0" w:space="0" w:color="auto"/>
            <w:bottom w:val="none" w:sz="0" w:space="0" w:color="auto"/>
            <w:right w:val="none" w:sz="0" w:space="0" w:color="auto"/>
          </w:divBdr>
        </w:div>
        <w:div w:id="1131632712">
          <w:marLeft w:val="0"/>
          <w:marRight w:val="0"/>
          <w:marTop w:val="0"/>
          <w:marBottom w:val="0"/>
          <w:divBdr>
            <w:top w:val="none" w:sz="0" w:space="0" w:color="auto"/>
            <w:left w:val="none" w:sz="0" w:space="0" w:color="auto"/>
            <w:bottom w:val="none" w:sz="0" w:space="0" w:color="auto"/>
            <w:right w:val="none" w:sz="0" w:space="0" w:color="auto"/>
          </w:divBdr>
        </w:div>
        <w:div w:id="1617564006">
          <w:marLeft w:val="0"/>
          <w:marRight w:val="0"/>
          <w:marTop w:val="0"/>
          <w:marBottom w:val="0"/>
          <w:divBdr>
            <w:top w:val="none" w:sz="0" w:space="0" w:color="auto"/>
            <w:left w:val="none" w:sz="0" w:space="0" w:color="auto"/>
            <w:bottom w:val="none" w:sz="0" w:space="0" w:color="auto"/>
            <w:right w:val="none" w:sz="0" w:space="0" w:color="auto"/>
          </w:divBdr>
        </w:div>
        <w:div w:id="199056237">
          <w:marLeft w:val="0"/>
          <w:marRight w:val="0"/>
          <w:marTop w:val="0"/>
          <w:marBottom w:val="0"/>
          <w:divBdr>
            <w:top w:val="none" w:sz="0" w:space="0" w:color="auto"/>
            <w:left w:val="none" w:sz="0" w:space="0" w:color="auto"/>
            <w:bottom w:val="none" w:sz="0" w:space="0" w:color="auto"/>
            <w:right w:val="none" w:sz="0" w:space="0" w:color="auto"/>
          </w:divBdr>
        </w:div>
        <w:div w:id="441262707">
          <w:marLeft w:val="0"/>
          <w:marRight w:val="0"/>
          <w:marTop w:val="0"/>
          <w:marBottom w:val="0"/>
          <w:divBdr>
            <w:top w:val="none" w:sz="0" w:space="0" w:color="auto"/>
            <w:left w:val="none" w:sz="0" w:space="0" w:color="auto"/>
            <w:bottom w:val="none" w:sz="0" w:space="0" w:color="auto"/>
            <w:right w:val="none" w:sz="0" w:space="0" w:color="auto"/>
          </w:divBdr>
        </w:div>
      </w:divsChild>
    </w:div>
    <w:div w:id="1076127965">
      <w:bodyDiv w:val="1"/>
      <w:marLeft w:val="0"/>
      <w:marRight w:val="0"/>
      <w:marTop w:val="0"/>
      <w:marBottom w:val="0"/>
      <w:divBdr>
        <w:top w:val="none" w:sz="0" w:space="0" w:color="auto"/>
        <w:left w:val="none" w:sz="0" w:space="0" w:color="auto"/>
        <w:bottom w:val="none" w:sz="0" w:space="0" w:color="auto"/>
        <w:right w:val="none" w:sz="0" w:space="0" w:color="auto"/>
      </w:divBdr>
    </w:div>
    <w:div w:id="1606766784">
      <w:bodyDiv w:val="1"/>
      <w:marLeft w:val="0"/>
      <w:marRight w:val="0"/>
      <w:marTop w:val="0"/>
      <w:marBottom w:val="0"/>
      <w:divBdr>
        <w:top w:val="none" w:sz="0" w:space="0" w:color="auto"/>
        <w:left w:val="none" w:sz="0" w:space="0" w:color="auto"/>
        <w:bottom w:val="none" w:sz="0" w:space="0" w:color="auto"/>
        <w:right w:val="none" w:sz="0" w:space="0" w:color="auto"/>
      </w:divBdr>
    </w:div>
    <w:div w:id="1953633795">
      <w:bodyDiv w:val="1"/>
      <w:marLeft w:val="0"/>
      <w:marRight w:val="0"/>
      <w:marTop w:val="0"/>
      <w:marBottom w:val="0"/>
      <w:divBdr>
        <w:top w:val="none" w:sz="0" w:space="0" w:color="auto"/>
        <w:left w:val="none" w:sz="0" w:space="0" w:color="auto"/>
        <w:bottom w:val="none" w:sz="0" w:space="0" w:color="auto"/>
        <w:right w:val="none" w:sz="0" w:space="0" w:color="auto"/>
      </w:divBdr>
    </w:div>
    <w:div w:id="204001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lenmacarthurfoundation.org/global-commitment-2022/overview" TargetMode="External"/><Relationship Id="rId13" Type="http://schemas.openxmlformats.org/officeDocument/2006/relationships/hyperlink" Target="http://www.bobst.com/facebook"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gudrun.alex@bobst.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ovadis.com/" TargetMode="External"/><Relationship Id="rId5" Type="http://schemas.openxmlformats.org/officeDocument/2006/relationships/webSettings" Target="webSettings.xml"/><Relationship Id="rId15" Type="http://schemas.openxmlformats.org/officeDocument/2006/relationships/hyperlink" Target="http://www.bobst.com/youtube" TargetMode="External"/><Relationship Id="rId10" Type="http://schemas.openxmlformats.org/officeDocument/2006/relationships/hyperlink" Target="https://www.europarl.europa.eu/news/en/press-room/20231117IPR12213/parliament-adopts-revamped-rules-to-reduce-reuse-and-recycle-packagin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europarl.europa.eu/news/en/press-room/20231117IPR12213/parliament-adopts-revamped-rules-to-reduce-reuse-and-recycle-packaging" TargetMode="External"/><Relationship Id="rId14" Type="http://schemas.openxmlformats.org/officeDocument/2006/relationships/hyperlink" Target="http://www.bobst.com/linked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FR_28498.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4FCF0-1D83-C44D-A931-7CE299E87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FR_28498</Template>
  <TotalTime>8</TotalTime>
  <Pages>1</Pages>
  <Words>1863</Words>
  <Characters>10438</Characters>
  <Application>Microsoft Office Word</Application>
  <DocSecurity>0</DocSecurity>
  <Lines>193</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7</cp:revision>
  <cp:lastPrinted>2015-02-06T09:00:00Z</cp:lastPrinted>
  <dcterms:created xsi:type="dcterms:W3CDTF">2024-02-27T17:13:00Z</dcterms:created>
  <dcterms:modified xsi:type="dcterms:W3CDTF">2024-05-01T20:13:00Z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y fmtid="{D5CDD505-2E9C-101B-9397-08002B2CF9AE}" pid="6" name="GrammarlyDocumentId">
    <vt:lpwstr>67a12aaafa96da1dbdce3ca92b5e0d365a5487238ca546c7d2a161b82e3c09ed</vt:lpwstr>
  </property>
</Properties>
</file>